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CAF1" w14:textId="70DC66F6" w:rsidR="00503706" w:rsidRDefault="00503706" w:rsidP="00043505">
      <w:pPr>
        <w:spacing w:before="120" w:after="240" w:line="276" w:lineRule="auto"/>
        <w:ind w:left="284"/>
        <w:contextualSpacing/>
        <w:mirrorIndents/>
        <w:jc w:val="center"/>
        <w:rPr>
          <w:b/>
          <w:bCs/>
          <w:color w:val="70AD47" w:themeColor="accent6"/>
          <w:sz w:val="36"/>
          <w:szCs w:val="36"/>
          <w:u w:val="single"/>
        </w:rPr>
      </w:pPr>
      <w:r w:rsidRPr="00C91946">
        <w:rPr>
          <w:b/>
          <w:bCs/>
          <w:color w:val="70AD47" w:themeColor="accent6"/>
          <w:sz w:val="36"/>
          <w:szCs w:val="36"/>
          <w:u w:val="single"/>
        </w:rPr>
        <w:t xml:space="preserve">SEZIONE FAQ </w:t>
      </w:r>
      <w:r w:rsidRPr="00EC74FF">
        <w:rPr>
          <w:b/>
          <w:bCs/>
          <w:color w:val="70AD47" w:themeColor="accent6"/>
          <w:sz w:val="36"/>
          <w:szCs w:val="36"/>
          <w:u w:val="single"/>
        </w:rPr>
        <w:t>CONTRIBUT</w:t>
      </w:r>
      <w:r>
        <w:rPr>
          <w:b/>
          <w:bCs/>
          <w:color w:val="70AD47" w:themeColor="accent6"/>
          <w:sz w:val="36"/>
          <w:szCs w:val="36"/>
          <w:u w:val="single"/>
        </w:rPr>
        <w:t>I OCDPC n. 999/2023</w:t>
      </w:r>
      <w:r w:rsidR="00B41036">
        <w:rPr>
          <w:b/>
          <w:bCs/>
          <w:color w:val="70AD47" w:themeColor="accent6"/>
          <w:sz w:val="36"/>
          <w:szCs w:val="36"/>
          <w:u w:val="single"/>
        </w:rPr>
        <w:t xml:space="preserve"> (</w:t>
      </w:r>
      <w:r w:rsidR="009070C5">
        <w:rPr>
          <w:b/>
          <w:bCs/>
          <w:color w:val="70AD47" w:themeColor="accent6"/>
          <w:sz w:val="36"/>
          <w:szCs w:val="36"/>
          <w:u w:val="single"/>
        </w:rPr>
        <w:t>1</w:t>
      </w:r>
      <w:r w:rsidR="00DC75E9">
        <w:rPr>
          <w:b/>
          <w:bCs/>
          <w:color w:val="70AD47" w:themeColor="accent6"/>
          <w:sz w:val="36"/>
          <w:szCs w:val="36"/>
          <w:u w:val="single"/>
        </w:rPr>
        <w:t>5</w:t>
      </w:r>
      <w:r w:rsidR="00B41036">
        <w:rPr>
          <w:b/>
          <w:bCs/>
          <w:color w:val="70AD47" w:themeColor="accent6"/>
          <w:sz w:val="36"/>
          <w:szCs w:val="36"/>
          <w:u w:val="single"/>
        </w:rPr>
        <w:t>)</w:t>
      </w:r>
    </w:p>
    <w:p w14:paraId="3EAEC76B" w14:textId="074F908D" w:rsidR="00715545" w:rsidRPr="00043505" w:rsidRDefault="00715545" w:rsidP="00715545">
      <w:pPr>
        <w:spacing w:before="120" w:after="240" w:line="240" w:lineRule="auto"/>
        <w:ind w:left="284"/>
        <w:contextualSpacing/>
        <w:mirrorIndents/>
        <w:jc w:val="center"/>
        <w:rPr>
          <w:b/>
          <w:bCs/>
          <w:color w:val="70AD47" w:themeColor="accent6"/>
          <w:sz w:val="28"/>
          <w:szCs w:val="28"/>
        </w:rPr>
      </w:pPr>
      <w:r w:rsidRPr="00043505">
        <w:rPr>
          <w:b/>
          <w:bCs/>
          <w:color w:val="70AD47" w:themeColor="accent6"/>
          <w:sz w:val="28"/>
          <w:szCs w:val="28"/>
        </w:rPr>
        <w:t>(Modifiche / Implementazioni / Aggiornamenti al</w:t>
      </w:r>
      <w:r w:rsidR="00043505" w:rsidRPr="00043505">
        <w:rPr>
          <w:b/>
          <w:bCs/>
          <w:color w:val="70AD47" w:themeColor="accent6"/>
          <w:sz w:val="28"/>
          <w:szCs w:val="28"/>
        </w:rPr>
        <w:t xml:space="preserve"> 12</w:t>
      </w:r>
      <w:r w:rsidR="00043505">
        <w:rPr>
          <w:b/>
          <w:bCs/>
          <w:color w:val="70AD47" w:themeColor="accent6"/>
          <w:sz w:val="28"/>
          <w:szCs w:val="28"/>
        </w:rPr>
        <w:t xml:space="preserve"> giugno </w:t>
      </w:r>
      <w:r w:rsidR="00043505" w:rsidRPr="00043505">
        <w:rPr>
          <w:b/>
          <w:bCs/>
          <w:color w:val="70AD47" w:themeColor="accent6"/>
          <w:sz w:val="28"/>
          <w:szCs w:val="28"/>
        </w:rPr>
        <w:t>2023</w:t>
      </w:r>
      <w:r w:rsidRPr="00043505">
        <w:rPr>
          <w:b/>
          <w:bCs/>
          <w:color w:val="70AD47" w:themeColor="accent6"/>
          <w:sz w:val="28"/>
          <w:szCs w:val="28"/>
        </w:rPr>
        <w:t>)</w:t>
      </w:r>
    </w:p>
    <w:p w14:paraId="56EF46F5" w14:textId="77777777" w:rsidR="00503706" w:rsidRDefault="00503706" w:rsidP="00DE33F4">
      <w:pPr>
        <w:spacing w:before="120" w:after="240" w:line="240" w:lineRule="auto"/>
        <w:ind w:left="284"/>
        <w:contextualSpacing/>
        <w:mirrorIndents/>
        <w:jc w:val="both"/>
        <w:rPr>
          <w:b/>
          <w:bCs/>
          <w:color w:val="70AD47" w:themeColor="accent6"/>
          <w:sz w:val="36"/>
          <w:szCs w:val="36"/>
          <w:u w:val="single"/>
        </w:rPr>
      </w:pPr>
    </w:p>
    <w:p w14:paraId="348202D1" w14:textId="77777777" w:rsidR="00503706" w:rsidRPr="00DE33F4" w:rsidRDefault="00503706" w:rsidP="00DE33F4">
      <w:pPr>
        <w:pStyle w:val="Paragrafoelenco"/>
        <w:numPr>
          <w:ilvl w:val="0"/>
          <w:numId w:val="1"/>
        </w:numPr>
        <w:spacing w:before="120" w:after="240" w:line="240" w:lineRule="auto"/>
        <w:ind w:left="284"/>
        <w:mirrorIndents/>
        <w:jc w:val="both"/>
        <w:rPr>
          <w:rFonts w:cstheme="minorHAnsi"/>
          <w:b/>
          <w:bCs/>
          <w:color w:val="FF0000"/>
        </w:rPr>
      </w:pPr>
      <w:r w:rsidRPr="00DE33F4">
        <w:rPr>
          <w:rFonts w:cstheme="minorHAnsi"/>
          <w:b/>
          <w:bCs/>
          <w:color w:val="FF0000"/>
        </w:rPr>
        <w:t>Cosa si intende per abitazione principale, abituale e continuativa?</w:t>
      </w:r>
    </w:p>
    <w:p w14:paraId="7AB2CF48" w14:textId="2FED8BEF"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 xml:space="preserve">Si tratta </w:t>
      </w:r>
      <w:r w:rsidRPr="00DE33F4">
        <w:rPr>
          <w:rFonts w:cstheme="minorHAnsi"/>
          <w:b/>
          <w:bCs/>
        </w:rPr>
        <w:t>dell’abitazione principale del proprietario o dell’inquilino</w:t>
      </w:r>
      <w:r w:rsidRPr="00DE33F4">
        <w:rPr>
          <w:rFonts w:cstheme="minorHAnsi"/>
        </w:rPr>
        <w:t xml:space="preserve"> (locatario, comodatario, usufruttuario) nella quale, alla data dell’evento calamitoso, il proprietario o l’inquilino dimorava abitualmente e continuativamente o come singolo o con il suo nucleo familiare. </w:t>
      </w:r>
    </w:p>
    <w:p w14:paraId="46A490B7" w14:textId="77777777" w:rsidR="00503706" w:rsidRPr="00DE33F4" w:rsidRDefault="00503706" w:rsidP="00DE33F4">
      <w:pPr>
        <w:pStyle w:val="Paragrafoelenco"/>
        <w:numPr>
          <w:ilvl w:val="0"/>
          <w:numId w:val="1"/>
        </w:numPr>
        <w:spacing w:before="120" w:after="240" w:line="240" w:lineRule="auto"/>
        <w:ind w:left="284"/>
        <w:mirrorIndents/>
        <w:jc w:val="both"/>
        <w:rPr>
          <w:rFonts w:cstheme="minorHAnsi"/>
          <w:b/>
          <w:bCs/>
          <w:color w:val="FF0000"/>
        </w:rPr>
      </w:pPr>
      <w:r w:rsidRPr="00DE33F4">
        <w:rPr>
          <w:rFonts w:cstheme="minorHAnsi"/>
          <w:b/>
          <w:bCs/>
          <w:color w:val="FF0000"/>
        </w:rPr>
        <w:t>Come comprovare il carattere principale, abituale e continuativo dell’abitazione in cui alla data dell’evento calamitoso non risulta la residenza anagrafica?</w:t>
      </w:r>
    </w:p>
    <w:p w14:paraId="32509B57" w14:textId="471E20AC"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 xml:space="preserve">La dimora abituale e continuativa, se non coincide con la residenza anagrafica, va comprovata al Comune, tramite la presentazione di copia dei contratti di utenza (acqua, luce, gas) intestati al proprietario o all’inquilino o ad altro componente del rispettivo nucleo familiare e delle bollette, relative ad almeno sei mesi antecedenti l’evento calamitoso, dalle quali si evinca un consumo medio e commisurato al numero dei componenti del nucleo familiare.  </w:t>
      </w:r>
    </w:p>
    <w:p w14:paraId="73B0D3EE" w14:textId="77777777" w:rsidR="00503706" w:rsidRPr="00DE33F4" w:rsidRDefault="00503706" w:rsidP="00DE33F4">
      <w:pPr>
        <w:pStyle w:val="Paragrafoelenco"/>
        <w:numPr>
          <w:ilvl w:val="0"/>
          <w:numId w:val="1"/>
        </w:numPr>
        <w:spacing w:before="120" w:after="240" w:line="240" w:lineRule="auto"/>
        <w:ind w:left="284"/>
        <w:mirrorIndents/>
        <w:jc w:val="both"/>
        <w:rPr>
          <w:rFonts w:cstheme="minorHAnsi"/>
          <w:b/>
          <w:bCs/>
          <w:color w:val="FF0000"/>
        </w:rPr>
      </w:pPr>
      <w:r w:rsidRPr="00DE33F4">
        <w:rPr>
          <w:rFonts w:cstheme="minorHAnsi"/>
          <w:b/>
          <w:bCs/>
          <w:color w:val="FF0000"/>
        </w:rPr>
        <w:t>Cosa si intende per abitazione diversa da quella principale abituale e continuativa?</w:t>
      </w:r>
    </w:p>
    <w:p w14:paraId="61BF38C9" w14:textId="77777777"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Si tratta dell’abitazione c.d. secondaria (sfitta) a disposizione del proprietario, nella quale non dimora abitualmente né il proprietario né un inquilino (locatario, comodatario, usufruttuario).</w:t>
      </w:r>
    </w:p>
    <w:p w14:paraId="10DDB986" w14:textId="77777777" w:rsidR="00503706" w:rsidRPr="00DE33F4" w:rsidRDefault="00503706" w:rsidP="00DE33F4">
      <w:pPr>
        <w:pStyle w:val="Paragrafoelenco"/>
        <w:numPr>
          <w:ilvl w:val="0"/>
          <w:numId w:val="1"/>
        </w:numPr>
        <w:spacing w:before="120" w:after="240" w:line="240" w:lineRule="auto"/>
        <w:ind w:left="284"/>
        <w:mirrorIndents/>
        <w:jc w:val="both"/>
        <w:rPr>
          <w:rFonts w:cstheme="minorHAnsi"/>
          <w:color w:val="FF0000"/>
        </w:rPr>
      </w:pPr>
      <w:r w:rsidRPr="00DE33F4">
        <w:rPr>
          <w:rFonts w:cstheme="minorHAnsi"/>
          <w:b/>
          <w:bCs/>
          <w:color w:val="FF0000"/>
        </w:rPr>
        <w:t>Chi può richiedere il contributo per l’abitazione principale abituale e continuativa?</w:t>
      </w:r>
    </w:p>
    <w:p w14:paraId="25230AA5" w14:textId="77777777"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Il contributo può essere richiesto dal proprietario:</w:t>
      </w:r>
    </w:p>
    <w:p w14:paraId="4C5C21ED" w14:textId="77777777" w:rsidR="00503706" w:rsidRPr="00DE33F4" w:rsidRDefault="00503706" w:rsidP="00DE33F4">
      <w:pPr>
        <w:pStyle w:val="Paragrafoelenco"/>
        <w:spacing w:before="120" w:after="240" w:line="240" w:lineRule="auto"/>
        <w:ind w:left="284"/>
        <w:mirrorIndents/>
        <w:jc w:val="both"/>
        <w:rPr>
          <w:rFonts w:cstheme="minorHAnsi"/>
        </w:rPr>
      </w:pPr>
      <w:r w:rsidRPr="00DE33F4">
        <w:rPr>
          <w:rFonts w:cstheme="minorHAnsi"/>
        </w:rPr>
        <w:t>- sia per i danni alla propria abitazione principale, abituale e continuativa;</w:t>
      </w:r>
    </w:p>
    <w:p w14:paraId="058E4D9A" w14:textId="77777777" w:rsidR="00503706" w:rsidRPr="00DE33F4" w:rsidRDefault="00503706" w:rsidP="00DE33F4">
      <w:pPr>
        <w:pStyle w:val="Paragrafoelenco"/>
        <w:spacing w:before="120" w:after="240" w:line="240" w:lineRule="auto"/>
        <w:ind w:left="284"/>
        <w:mirrorIndents/>
        <w:jc w:val="both"/>
        <w:rPr>
          <w:rFonts w:cstheme="minorHAnsi"/>
        </w:rPr>
      </w:pPr>
      <w:r w:rsidRPr="00DE33F4">
        <w:rPr>
          <w:rFonts w:cstheme="minorHAnsi"/>
        </w:rPr>
        <w:t xml:space="preserve">- sia per i danni all’abitazione, di sua proprietà, ma costituente abitazione, principale, abituale e continuativa dell’inquilino (locatario, comodatario, usufruttuario). </w:t>
      </w:r>
    </w:p>
    <w:p w14:paraId="3F43D1E1" w14:textId="0A5970DD"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I</w:t>
      </w:r>
      <w:r w:rsidR="00C430FA">
        <w:rPr>
          <w:rFonts w:cstheme="minorHAnsi"/>
        </w:rPr>
        <w:t>n alternativa, i</w:t>
      </w:r>
      <w:r w:rsidRPr="00DE33F4">
        <w:rPr>
          <w:rFonts w:cstheme="minorHAnsi"/>
        </w:rPr>
        <w:t xml:space="preserve">l contributo può essere richiesto dall’inquilino se, </w:t>
      </w:r>
      <w:r w:rsidRPr="00DE33F4">
        <w:rPr>
          <w:rFonts w:cstheme="minorHAnsi"/>
          <w:b/>
          <w:bCs/>
        </w:rPr>
        <w:t>autorizzato dal proprietario</w:t>
      </w:r>
      <w:r w:rsidRPr="00DE33F4">
        <w:rPr>
          <w:rFonts w:cstheme="minorHAnsi"/>
        </w:rPr>
        <w:t xml:space="preserve">, esegue gli interventi di ripristino dei danni </w:t>
      </w:r>
      <w:r w:rsidRPr="00DE33F4">
        <w:rPr>
          <w:rFonts w:cstheme="minorHAnsi"/>
          <w:b/>
          <w:bCs/>
        </w:rPr>
        <w:t>accollandosi la spesa</w:t>
      </w:r>
      <w:r w:rsidRPr="00DE33F4">
        <w:rPr>
          <w:rFonts w:cstheme="minorHAnsi"/>
        </w:rPr>
        <w:t>. In tal caso, alla domanda di contributo sottoscritta dall’inquilino va allegata la dichiarazione di rinuncia al contributo del proprietario, utilizzando il modulo A3.</w:t>
      </w:r>
    </w:p>
    <w:p w14:paraId="11C0BE33" w14:textId="77777777" w:rsidR="00503706" w:rsidRPr="00DE33F4" w:rsidRDefault="00503706" w:rsidP="00DE33F4">
      <w:pPr>
        <w:pStyle w:val="Paragrafoelenco"/>
        <w:numPr>
          <w:ilvl w:val="0"/>
          <w:numId w:val="1"/>
        </w:numPr>
        <w:spacing w:before="120" w:after="240" w:line="240" w:lineRule="auto"/>
        <w:ind w:left="284"/>
        <w:mirrorIndents/>
        <w:jc w:val="both"/>
        <w:rPr>
          <w:rFonts w:cstheme="minorHAnsi"/>
          <w:b/>
          <w:bCs/>
          <w:color w:val="FF0000"/>
        </w:rPr>
      </w:pPr>
      <w:r w:rsidRPr="00DE33F4">
        <w:rPr>
          <w:rFonts w:cstheme="minorHAnsi"/>
          <w:b/>
          <w:bCs/>
          <w:color w:val="FF0000"/>
        </w:rPr>
        <w:t>Come può il Comune - Organismo istruttore verificare che la domanda di contributo non sia stata presentata da più di un componente dello stesso nucleo familiare in cui non risulta, alla data dell’evento, la residenza anagrafica di tale nucleo?</w:t>
      </w:r>
    </w:p>
    <w:p w14:paraId="2A4D5CF5" w14:textId="77777777" w:rsidR="00503706" w:rsidRPr="00DE33F4" w:rsidRDefault="00503706" w:rsidP="00DE33F4">
      <w:pPr>
        <w:spacing w:before="120" w:after="240" w:line="240" w:lineRule="auto"/>
        <w:ind w:left="284"/>
        <w:contextualSpacing/>
        <w:mirrorIndents/>
        <w:jc w:val="both"/>
        <w:rPr>
          <w:rFonts w:cstheme="minorHAnsi"/>
        </w:rPr>
      </w:pPr>
      <w:r w:rsidRPr="00DE33F4">
        <w:rPr>
          <w:rFonts w:cstheme="minorHAnsi"/>
        </w:rPr>
        <w:t>Al fine di accelerare le attività di controllo da parte del Comune-Organismo istruttore (amministrazione procedente) e quindi di consentire il pagamento del contributo entro i ristretti termini fissati dall’ordinanza n. 999/2023, è possibile allegare alla domanda di contributo (richiesta di acconto) il certificato storico dello stato di famiglia rilasciato dal Comune di residenza anagrafica del nucleo familiare (amministrazione certificante).</w:t>
      </w:r>
    </w:p>
    <w:p w14:paraId="1E75FC37" w14:textId="52B89797" w:rsidR="004E5347" w:rsidRPr="00DE33F4" w:rsidRDefault="004E5347" w:rsidP="00DE33F4">
      <w:pPr>
        <w:pStyle w:val="Paragrafoelenco"/>
        <w:spacing w:before="120" w:after="240" w:line="240" w:lineRule="auto"/>
        <w:ind w:left="284" w:hanging="284"/>
        <w:mirrorIndents/>
        <w:jc w:val="both"/>
        <w:rPr>
          <w:rFonts w:cstheme="minorHAnsi"/>
          <w:b/>
          <w:bCs/>
          <w:color w:val="FF0000"/>
        </w:rPr>
      </w:pPr>
      <w:r w:rsidRPr="00DE33F4">
        <w:rPr>
          <w:rFonts w:cstheme="minorHAnsi"/>
          <w:b/>
          <w:bCs/>
          <w:color w:val="FF0000"/>
        </w:rPr>
        <w:t xml:space="preserve">6.  Il contributo forfettario di 750,00 euro per la perizia asseverata è erogato in questa fase anche nei casi previsti all’art. 2 della OCDPC 999/2023 (abitazioni sfitte, immobili sedi di associazioni senza scopo di lucro) o si rinvia alla fase della “ricostruzione”?  </w:t>
      </w:r>
    </w:p>
    <w:p w14:paraId="1BC6CD4E" w14:textId="77777777" w:rsidR="004E5347" w:rsidRPr="00DE33F4" w:rsidRDefault="004E5347" w:rsidP="00DE33F4">
      <w:pPr>
        <w:pStyle w:val="Paragrafoelenco"/>
        <w:spacing w:before="120" w:after="240" w:line="240" w:lineRule="auto"/>
        <w:ind w:left="284" w:hanging="284"/>
        <w:mirrorIndents/>
        <w:jc w:val="both"/>
        <w:rPr>
          <w:rFonts w:cstheme="minorHAnsi"/>
          <w:color w:val="FF0000"/>
        </w:rPr>
      </w:pPr>
    </w:p>
    <w:p w14:paraId="2F597A29" w14:textId="3BD75D48" w:rsidR="004E5347" w:rsidRDefault="004E5347" w:rsidP="00DE33F4">
      <w:pPr>
        <w:pStyle w:val="Paragrafoelenco"/>
        <w:spacing w:before="120" w:after="240" w:line="240" w:lineRule="auto"/>
        <w:ind w:left="284"/>
        <w:mirrorIndents/>
        <w:jc w:val="both"/>
        <w:rPr>
          <w:rFonts w:cstheme="minorHAnsi"/>
        </w:rPr>
      </w:pPr>
      <w:r w:rsidRPr="00DE33F4">
        <w:rPr>
          <w:rFonts w:cstheme="minorHAnsi"/>
        </w:rPr>
        <w:t xml:space="preserve">NO, il contributo forfetario per la perizia si aggiunge alla prima misura economica di immediato sostegno che è accessibile solo dai nuclei familiari che hanno subito danni diretti (allagamenti o interessamento da </w:t>
      </w:r>
      <w:r w:rsidRPr="00DE33F4">
        <w:rPr>
          <w:rFonts w:cstheme="minorHAnsi"/>
        </w:rPr>
        <w:lastRenderedPageBreak/>
        <w:t xml:space="preserve">movimento franoso) all’abitazione principale, abituale e continuativa. Chi non è in questa condizione può provvedere, in questo momento, unicamente solo alla redazione della </w:t>
      </w:r>
      <w:r w:rsidRPr="00C65E47">
        <w:rPr>
          <w:rFonts w:cstheme="minorHAnsi"/>
        </w:rPr>
        <w:t xml:space="preserve">perizia </w:t>
      </w:r>
      <w:r w:rsidR="001D26EA" w:rsidRPr="00C65E47">
        <w:rPr>
          <w:rFonts w:cstheme="minorHAnsi"/>
        </w:rPr>
        <w:t>con costo a proprio carico che</w:t>
      </w:r>
      <w:r w:rsidRPr="00C65E47">
        <w:rPr>
          <w:rFonts w:cstheme="minorHAnsi"/>
        </w:rPr>
        <w:t xml:space="preserve"> potrà essere ricompreso nei contributi di ricostruzione che saranno definiti in seguito. </w:t>
      </w:r>
      <w:r w:rsidR="00CF6685" w:rsidRPr="00C65E47">
        <w:rPr>
          <w:rFonts w:cstheme="minorHAnsi"/>
          <w:bCs/>
        </w:rPr>
        <w:t>La perizia deve essere trasmessa al Comune entro un termine che verrà definito con successivo provvedimento.</w:t>
      </w:r>
    </w:p>
    <w:p w14:paraId="6A69D6DF" w14:textId="77777777" w:rsidR="003770D8" w:rsidRPr="00DE33F4" w:rsidRDefault="003770D8" w:rsidP="00DE33F4">
      <w:pPr>
        <w:pStyle w:val="Paragrafoelenco"/>
        <w:spacing w:before="120" w:after="240" w:line="240" w:lineRule="auto"/>
        <w:ind w:left="284"/>
        <w:mirrorIndents/>
        <w:jc w:val="both"/>
        <w:rPr>
          <w:rFonts w:cstheme="minorHAnsi"/>
        </w:rPr>
      </w:pPr>
    </w:p>
    <w:p w14:paraId="4F9BE916" w14:textId="3F2B4ADC" w:rsidR="004E5347" w:rsidRPr="00253262" w:rsidRDefault="00C84B5B" w:rsidP="00253262">
      <w:pPr>
        <w:pStyle w:val="Paragrafoelenco"/>
        <w:numPr>
          <w:ilvl w:val="0"/>
          <w:numId w:val="8"/>
        </w:numPr>
        <w:spacing w:before="120" w:after="240" w:line="240" w:lineRule="auto"/>
        <w:mirrorIndents/>
        <w:jc w:val="both"/>
        <w:rPr>
          <w:rFonts w:cstheme="minorHAnsi"/>
          <w:b/>
          <w:bCs/>
          <w:color w:val="FF0000"/>
        </w:rPr>
      </w:pPr>
      <w:r w:rsidRPr="00253262">
        <w:rPr>
          <w:rFonts w:cstheme="minorHAnsi"/>
          <w:b/>
          <w:bCs/>
          <w:color w:val="FF0000"/>
        </w:rPr>
        <w:t>Come avviene l’erogazione dell</w:t>
      </w:r>
      <w:r w:rsidR="004E5347" w:rsidRPr="00253262">
        <w:rPr>
          <w:rFonts w:cstheme="minorHAnsi"/>
          <w:b/>
          <w:bCs/>
          <w:color w:val="FF0000"/>
        </w:rPr>
        <w:t>’acconto e</w:t>
      </w:r>
      <w:r w:rsidRPr="00253262">
        <w:rPr>
          <w:rFonts w:cstheme="minorHAnsi"/>
          <w:b/>
          <w:bCs/>
          <w:color w:val="FF0000"/>
        </w:rPr>
        <w:t xml:space="preserve"> de</w:t>
      </w:r>
      <w:r w:rsidR="004E5347" w:rsidRPr="00253262">
        <w:rPr>
          <w:rFonts w:cstheme="minorHAnsi"/>
          <w:b/>
          <w:bCs/>
          <w:color w:val="FF0000"/>
        </w:rPr>
        <w:t>l saldo</w:t>
      </w:r>
      <w:r w:rsidRPr="00253262">
        <w:rPr>
          <w:rFonts w:cstheme="minorHAnsi"/>
          <w:b/>
          <w:bCs/>
          <w:color w:val="FF0000"/>
        </w:rPr>
        <w:t>?</w:t>
      </w:r>
    </w:p>
    <w:p w14:paraId="5B755452" w14:textId="77777777" w:rsidR="003770D8" w:rsidRPr="00DE33F4" w:rsidRDefault="003770D8" w:rsidP="003770D8">
      <w:pPr>
        <w:pStyle w:val="Paragrafoelenco"/>
        <w:spacing w:before="120" w:after="240" w:line="240" w:lineRule="auto"/>
        <w:mirrorIndents/>
        <w:jc w:val="both"/>
        <w:rPr>
          <w:rFonts w:cstheme="minorHAnsi"/>
          <w:b/>
          <w:bCs/>
          <w:color w:val="FF0000"/>
        </w:rPr>
      </w:pPr>
    </w:p>
    <w:p w14:paraId="1777E03A" w14:textId="476017F2" w:rsidR="0067290B" w:rsidRPr="00C65E47" w:rsidRDefault="004E5347" w:rsidP="00DE33F4">
      <w:pPr>
        <w:pStyle w:val="Paragrafoelenco"/>
        <w:spacing w:before="120" w:after="240" w:line="240" w:lineRule="auto"/>
        <w:ind w:left="284"/>
        <w:mirrorIndents/>
        <w:jc w:val="both"/>
        <w:rPr>
          <w:rFonts w:cstheme="minorHAnsi"/>
        </w:rPr>
      </w:pPr>
      <w:r w:rsidRPr="00DE33F4">
        <w:rPr>
          <w:rFonts w:cstheme="minorHAnsi"/>
        </w:rPr>
        <w:t xml:space="preserve">L’acconto viene erogato in misura predefinita </w:t>
      </w:r>
      <w:r w:rsidR="0067290B">
        <w:rPr>
          <w:rFonts w:cstheme="minorHAnsi"/>
        </w:rPr>
        <w:t xml:space="preserve">di </w:t>
      </w:r>
      <w:r w:rsidR="00243498">
        <w:rPr>
          <w:rFonts w:cstheme="minorHAnsi"/>
        </w:rPr>
        <w:t xml:space="preserve">€ </w:t>
      </w:r>
      <w:r w:rsidRPr="00DE33F4">
        <w:rPr>
          <w:rFonts w:cstheme="minorHAnsi"/>
        </w:rPr>
        <w:t>3.000</w:t>
      </w:r>
      <w:r w:rsidR="00243498">
        <w:rPr>
          <w:rFonts w:cstheme="minorHAnsi"/>
        </w:rPr>
        <w:t>,</w:t>
      </w:r>
      <w:r w:rsidR="00243498" w:rsidRPr="00C65E47">
        <w:rPr>
          <w:rFonts w:cstheme="minorHAnsi"/>
        </w:rPr>
        <w:t>00</w:t>
      </w:r>
      <w:r w:rsidR="0067290B" w:rsidRPr="00C65E47">
        <w:rPr>
          <w:rFonts w:cstheme="minorHAnsi"/>
        </w:rPr>
        <w:t xml:space="preserve">; </w:t>
      </w:r>
      <w:r w:rsidR="0067290B" w:rsidRPr="00C65E47">
        <w:t>verranno successivamente rese note le modalità di restituzione degli importi eventualmente eccedenti</w:t>
      </w:r>
      <w:r w:rsidR="0067290B" w:rsidRPr="00C65E47">
        <w:rPr>
          <w:rFonts w:cstheme="minorHAnsi"/>
        </w:rPr>
        <w:t>.</w:t>
      </w:r>
    </w:p>
    <w:p w14:paraId="2B49C13E" w14:textId="3872D246" w:rsidR="004E5347" w:rsidRPr="00DE33F4" w:rsidRDefault="004E5347" w:rsidP="00DE33F4">
      <w:pPr>
        <w:pStyle w:val="Paragrafoelenco"/>
        <w:spacing w:before="120" w:after="240" w:line="240" w:lineRule="auto"/>
        <w:ind w:left="284"/>
        <w:mirrorIndents/>
        <w:jc w:val="both"/>
        <w:rPr>
          <w:rFonts w:cstheme="minorHAnsi"/>
        </w:rPr>
      </w:pPr>
      <w:r w:rsidRPr="00C65E47">
        <w:rPr>
          <w:rFonts w:cstheme="minorHAnsi"/>
        </w:rPr>
        <w:t xml:space="preserve">Il saldo viene, invece, erogato fino alla concorrenza del massimo di ulteriori </w:t>
      </w:r>
      <w:r w:rsidR="00243498" w:rsidRPr="00C65E47">
        <w:rPr>
          <w:rFonts w:cstheme="minorHAnsi"/>
        </w:rPr>
        <w:t xml:space="preserve">€ </w:t>
      </w:r>
      <w:r w:rsidRPr="00C65E47">
        <w:rPr>
          <w:rFonts w:cstheme="minorHAnsi"/>
        </w:rPr>
        <w:t>2.000</w:t>
      </w:r>
      <w:r w:rsidR="00243498" w:rsidRPr="00C65E47">
        <w:rPr>
          <w:rFonts w:cstheme="minorHAnsi"/>
        </w:rPr>
        <w:t>,00</w:t>
      </w:r>
      <w:r w:rsidRPr="00C65E47">
        <w:rPr>
          <w:rFonts w:cstheme="minorHAnsi"/>
        </w:rPr>
        <w:t xml:space="preserve">. La piattaforma, che prevede il caricamento della documentazione e la valorizzazione della relativa spesa </w:t>
      </w:r>
      <w:r w:rsidR="00C84B5B" w:rsidRPr="00C65E47">
        <w:rPr>
          <w:rFonts w:cstheme="minorHAnsi"/>
        </w:rPr>
        <w:t>(</w:t>
      </w:r>
      <w:r w:rsidRPr="00C65E47">
        <w:rPr>
          <w:rFonts w:cstheme="minorHAnsi"/>
        </w:rPr>
        <w:t>solo a scopo di supporto istruttorio per il Comune)</w:t>
      </w:r>
      <w:r w:rsidR="00C84B5B" w:rsidRPr="00C65E47">
        <w:rPr>
          <w:rFonts w:cstheme="minorHAnsi"/>
        </w:rPr>
        <w:t>,</w:t>
      </w:r>
      <w:r w:rsidRPr="00C65E47">
        <w:rPr>
          <w:rFonts w:cstheme="minorHAnsi"/>
        </w:rPr>
        <w:t xml:space="preserve"> consentirà di specificare l’importo del saldo sulla base della documentazione che il Comune ammette</w:t>
      </w:r>
      <w:r w:rsidR="00D96B28" w:rsidRPr="00C65E47">
        <w:rPr>
          <w:rFonts w:cstheme="minorHAnsi"/>
        </w:rPr>
        <w:t xml:space="preserve"> a contributo</w:t>
      </w:r>
      <w:r w:rsidR="00EF3DBB" w:rsidRPr="00C65E47">
        <w:rPr>
          <w:rFonts w:cstheme="minorHAnsi"/>
        </w:rPr>
        <w:t xml:space="preserve"> e carica</w:t>
      </w:r>
      <w:r w:rsidRPr="00DE33F4">
        <w:rPr>
          <w:rFonts w:cstheme="minorHAnsi"/>
        </w:rPr>
        <w:t xml:space="preserve">. </w:t>
      </w:r>
    </w:p>
    <w:p w14:paraId="5215D6E3" w14:textId="77777777" w:rsidR="004E5347" w:rsidRPr="00DE33F4" w:rsidRDefault="004E5347" w:rsidP="00DE33F4">
      <w:pPr>
        <w:pStyle w:val="Paragrafoelenco"/>
        <w:spacing w:before="120" w:after="240" w:line="240" w:lineRule="auto"/>
        <w:ind w:left="284"/>
        <w:mirrorIndents/>
        <w:jc w:val="both"/>
        <w:rPr>
          <w:rFonts w:cstheme="minorHAnsi"/>
        </w:rPr>
      </w:pPr>
    </w:p>
    <w:p w14:paraId="3CC700D4" w14:textId="191A5E48" w:rsidR="003770D8" w:rsidRDefault="005A60C3" w:rsidP="00253262">
      <w:pPr>
        <w:pStyle w:val="Paragrafoelenco"/>
        <w:numPr>
          <w:ilvl w:val="0"/>
          <w:numId w:val="8"/>
        </w:numPr>
        <w:spacing w:before="120" w:after="240" w:line="240" w:lineRule="auto"/>
        <w:mirrorIndents/>
        <w:jc w:val="both"/>
        <w:rPr>
          <w:rFonts w:cstheme="minorHAnsi"/>
          <w:b/>
          <w:bCs/>
          <w:color w:val="FF0000"/>
        </w:rPr>
      </w:pPr>
      <w:r w:rsidRPr="00DE33F4">
        <w:rPr>
          <w:rFonts w:cstheme="minorHAnsi"/>
          <w:b/>
          <w:bCs/>
          <w:color w:val="FF0000"/>
        </w:rPr>
        <w:t>È</w:t>
      </w:r>
      <w:r w:rsidR="0021739C" w:rsidRPr="00DE33F4">
        <w:rPr>
          <w:rFonts w:cstheme="minorHAnsi"/>
          <w:b/>
          <w:bCs/>
          <w:color w:val="FF0000"/>
        </w:rPr>
        <w:t xml:space="preserve"> possibile riconoscere il contributo nei casi in cui la pertinenza sia allagata</w:t>
      </w:r>
      <w:r w:rsidR="007B74C3" w:rsidRPr="00DE33F4">
        <w:rPr>
          <w:rFonts w:cstheme="minorHAnsi"/>
          <w:b/>
          <w:bCs/>
          <w:color w:val="FF0000"/>
        </w:rPr>
        <w:t xml:space="preserve"> o interessata da moviment</w:t>
      </w:r>
      <w:r w:rsidR="009B503D" w:rsidRPr="00DE33F4">
        <w:rPr>
          <w:rFonts w:cstheme="minorHAnsi"/>
          <w:b/>
          <w:bCs/>
          <w:color w:val="FF0000"/>
        </w:rPr>
        <w:t>i</w:t>
      </w:r>
      <w:r w:rsidR="007B74C3" w:rsidRPr="00DE33F4">
        <w:rPr>
          <w:rFonts w:cstheme="minorHAnsi"/>
          <w:b/>
          <w:bCs/>
          <w:color w:val="FF0000"/>
        </w:rPr>
        <w:t xml:space="preserve"> franos</w:t>
      </w:r>
      <w:r w:rsidR="009B503D" w:rsidRPr="00DE33F4">
        <w:rPr>
          <w:rFonts w:cstheme="minorHAnsi"/>
          <w:b/>
          <w:bCs/>
          <w:color w:val="FF0000"/>
        </w:rPr>
        <w:t>i o smottamenti</w:t>
      </w:r>
      <w:r w:rsidR="007B74C3" w:rsidRPr="00DE33F4">
        <w:rPr>
          <w:rFonts w:cstheme="minorHAnsi"/>
          <w:b/>
          <w:bCs/>
          <w:color w:val="FF0000"/>
        </w:rPr>
        <w:t>, ma l’abitazione principale, abituale e continua</w:t>
      </w:r>
      <w:r w:rsidR="009B503D" w:rsidRPr="00DE33F4">
        <w:rPr>
          <w:rFonts w:cstheme="minorHAnsi"/>
          <w:b/>
          <w:bCs/>
          <w:color w:val="FF0000"/>
        </w:rPr>
        <w:t>tiva</w:t>
      </w:r>
      <w:r w:rsidR="00FC679B">
        <w:rPr>
          <w:rFonts w:cstheme="minorHAnsi"/>
          <w:b/>
          <w:bCs/>
          <w:color w:val="FF0000"/>
        </w:rPr>
        <w:t xml:space="preserve"> risulti</w:t>
      </w:r>
      <w:r w:rsidR="003E0E3B">
        <w:rPr>
          <w:rFonts w:cstheme="minorHAnsi"/>
          <w:b/>
          <w:bCs/>
          <w:color w:val="FF0000"/>
        </w:rPr>
        <w:t xml:space="preserve"> </w:t>
      </w:r>
      <w:r w:rsidR="009B503D" w:rsidRPr="00DE33F4">
        <w:rPr>
          <w:rFonts w:cstheme="minorHAnsi"/>
          <w:b/>
          <w:bCs/>
          <w:color w:val="FF0000"/>
        </w:rPr>
        <w:t>integra?</w:t>
      </w:r>
    </w:p>
    <w:p w14:paraId="1D009A25" w14:textId="2FC1E6FB" w:rsidR="004E5347" w:rsidRPr="00DE33F4" w:rsidRDefault="009B503D" w:rsidP="003770D8">
      <w:pPr>
        <w:pStyle w:val="Paragrafoelenco"/>
        <w:spacing w:before="120" w:after="240" w:line="240" w:lineRule="auto"/>
        <w:mirrorIndents/>
        <w:jc w:val="both"/>
        <w:rPr>
          <w:rFonts w:cstheme="minorHAnsi"/>
          <w:b/>
          <w:bCs/>
          <w:color w:val="FF0000"/>
        </w:rPr>
      </w:pPr>
      <w:r w:rsidRPr="00DE33F4">
        <w:rPr>
          <w:rFonts w:cstheme="minorHAnsi"/>
          <w:b/>
          <w:bCs/>
          <w:color w:val="FF0000"/>
        </w:rPr>
        <w:t xml:space="preserve"> </w:t>
      </w:r>
      <w:r w:rsidR="004E5347" w:rsidRPr="00DE33F4">
        <w:rPr>
          <w:rFonts w:cstheme="minorHAnsi"/>
          <w:b/>
          <w:bCs/>
          <w:color w:val="FF0000"/>
        </w:rPr>
        <w:t xml:space="preserve"> </w:t>
      </w:r>
    </w:p>
    <w:p w14:paraId="39DA8EE8" w14:textId="2C419FE3" w:rsidR="00B65E22" w:rsidRPr="00DE33F4" w:rsidRDefault="004E5347" w:rsidP="00DE33F4">
      <w:pPr>
        <w:pStyle w:val="Paragrafoelenco"/>
        <w:spacing w:before="120" w:after="240" w:line="240" w:lineRule="auto"/>
        <w:ind w:left="284"/>
        <w:mirrorIndents/>
        <w:jc w:val="both"/>
        <w:rPr>
          <w:rFonts w:cstheme="minorHAnsi"/>
        </w:rPr>
      </w:pPr>
      <w:r w:rsidRPr="00DE33F4">
        <w:rPr>
          <w:rFonts w:cstheme="minorHAnsi"/>
          <w:b/>
          <w:bCs/>
        </w:rPr>
        <w:t>NO</w:t>
      </w:r>
      <w:r w:rsidRPr="00DE33F4">
        <w:rPr>
          <w:rFonts w:cstheme="minorHAnsi"/>
        </w:rPr>
        <w:t>, il contributo è accessibile solo dai nuclei familiari che hanno subito danni diretti (allagamenti o interessamento da movimento franoso) all’abitazione principale, abituale e continuativa. In tale circostanza, il contributo può essere speso (per le finalità e tipologie previste) anche in relazione alle eventuali pertinenze (box, garage, cantina). Chi non è in questa condizione e ha subito danni SOLO alle pertinenze può provvedere, in questo momento, unicamente solo alla redazione della perizia a proprio carico, e il costo relativo potrà essere ricompreso nei contributi di ricostruzione che saranno definiti in seguito</w:t>
      </w:r>
    </w:p>
    <w:p w14:paraId="2E2A9966" w14:textId="5132579F" w:rsidR="00B65E22" w:rsidRPr="00DE33F4" w:rsidRDefault="00B65E22" w:rsidP="00FC679B">
      <w:pPr>
        <w:shd w:val="clear" w:color="auto" w:fill="FFFFFF" w:themeFill="background1"/>
        <w:spacing w:before="120" w:after="0" w:line="240" w:lineRule="auto"/>
        <w:ind w:left="284" w:hanging="425"/>
        <w:contextualSpacing/>
        <w:mirrorIndents/>
        <w:jc w:val="both"/>
        <w:rPr>
          <w:rFonts w:eastAsia="Times New Roman" w:cstheme="minorHAnsi"/>
          <w:b/>
          <w:bCs/>
          <w:color w:val="FF0000"/>
        </w:rPr>
      </w:pPr>
      <w:r w:rsidRPr="00DE33F4">
        <w:rPr>
          <w:rFonts w:eastAsia="Times New Roman" w:cstheme="minorHAnsi"/>
          <w:b/>
          <w:bCs/>
          <w:color w:val="FF0000"/>
        </w:rPr>
        <w:t xml:space="preserve">9. </w:t>
      </w:r>
      <w:r w:rsidR="005A60C3" w:rsidRPr="00DE33F4">
        <w:rPr>
          <w:rFonts w:eastAsia="Times New Roman" w:cstheme="minorHAnsi"/>
          <w:b/>
          <w:bCs/>
          <w:color w:val="FF0000"/>
        </w:rPr>
        <w:t>È</w:t>
      </w:r>
      <w:r w:rsidRPr="00DE33F4">
        <w:rPr>
          <w:rFonts w:eastAsia="Times New Roman" w:cstheme="minorHAnsi"/>
          <w:b/>
          <w:bCs/>
          <w:color w:val="FF0000"/>
        </w:rPr>
        <w:t xml:space="preserve"> ammissibile al contributo la documentazione di spesa intestata ad un componente del nucleo familiare, non proprietario o comproprietario dell’abitazione principale, abituale e continuativa?</w:t>
      </w:r>
    </w:p>
    <w:p w14:paraId="334B9B6C" w14:textId="77777777" w:rsidR="00B65E22" w:rsidRDefault="00B65E22" w:rsidP="00DE33F4">
      <w:pPr>
        <w:pStyle w:val="Paragrafoelenco"/>
        <w:shd w:val="clear" w:color="auto" w:fill="FFFFFF" w:themeFill="background1"/>
        <w:spacing w:before="120" w:after="240" w:line="240" w:lineRule="auto"/>
        <w:ind w:left="284"/>
        <w:mirrorIndents/>
        <w:jc w:val="both"/>
        <w:rPr>
          <w:rFonts w:cstheme="minorHAnsi"/>
          <w:b/>
          <w:bCs/>
        </w:rPr>
      </w:pPr>
      <w:r w:rsidRPr="00DE33F4">
        <w:rPr>
          <w:rFonts w:cstheme="minorHAnsi"/>
          <w:b/>
          <w:bCs/>
        </w:rPr>
        <w:t>SI</w:t>
      </w:r>
    </w:p>
    <w:p w14:paraId="353D795D" w14:textId="77777777" w:rsidR="003770D8" w:rsidRPr="00DE33F4" w:rsidRDefault="003770D8" w:rsidP="00DE33F4">
      <w:pPr>
        <w:pStyle w:val="Paragrafoelenco"/>
        <w:shd w:val="clear" w:color="auto" w:fill="FFFFFF" w:themeFill="background1"/>
        <w:spacing w:before="120" w:after="240" w:line="240" w:lineRule="auto"/>
        <w:ind w:left="284"/>
        <w:mirrorIndents/>
        <w:jc w:val="both"/>
        <w:rPr>
          <w:rFonts w:cstheme="minorHAnsi"/>
          <w:b/>
          <w:bCs/>
        </w:rPr>
      </w:pPr>
    </w:p>
    <w:p w14:paraId="3DF6D71A" w14:textId="3C95913D" w:rsidR="00174BBD" w:rsidRPr="00DE33F4" w:rsidRDefault="005A60C3" w:rsidP="00DE33F4">
      <w:pPr>
        <w:pStyle w:val="Paragrafoelenco"/>
        <w:numPr>
          <w:ilvl w:val="0"/>
          <w:numId w:val="5"/>
        </w:numPr>
        <w:shd w:val="clear" w:color="auto" w:fill="FFFFFF" w:themeFill="background1"/>
        <w:spacing w:before="120" w:after="240" w:line="240" w:lineRule="auto"/>
        <w:ind w:left="284"/>
        <w:mirrorIndents/>
        <w:jc w:val="both"/>
        <w:rPr>
          <w:rFonts w:eastAsia="Times New Roman" w:cstheme="minorHAnsi"/>
          <w:b/>
          <w:bCs/>
          <w:color w:val="FF0000"/>
        </w:rPr>
      </w:pPr>
      <w:r w:rsidRPr="00DE33F4">
        <w:rPr>
          <w:rFonts w:eastAsia="Times New Roman" w:cstheme="minorHAnsi"/>
          <w:b/>
          <w:bCs/>
          <w:color w:val="FF0000"/>
        </w:rPr>
        <w:t>È</w:t>
      </w:r>
      <w:r w:rsidR="00174BBD" w:rsidRPr="00DE33F4">
        <w:rPr>
          <w:rFonts w:eastAsia="Times New Roman" w:cstheme="minorHAnsi"/>
          <w:b/>
          <w:bCs/>
          <w:color w:val="FF0000"/>
        </w:rPr>
        <w:t xml:space="preserve"> possibile accedere al contributo per il ripristino di una strada vicinale?</w:t>
      </w:r>
    </w:p>
    <w:p w14:paraId="41A6C41B" w14:textId="5449FC5E" w:rsidR="00174BBD" w:rsidRDefault="00174BBD" w:rsidP="00DE33F4">
      <w:pPr>
        <w:pStyle w:val="NormaleWeb"/>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kern w:val="2"/>
          <w:sz w:val="22"/>
          <w:szCs w:val="22"/>
          <w:lang w:eastAsia="en-US"/>
          <w14:ligatures w14:val="standardContextual"/>
        </w:rPr>
      </w:pPr>
      <w:r w:rsidRPr="00DE33F4">
        <w:rPr>
          <w:rFonts w:asciiTheme="minorHAnsi" w:eastAsiaTheme="minorHAnsi" w:hAnsiTheme="minorHAnsi" w:cstheme="minorHAnsi"/>
          <w:kern w:val="2"/>
          <w:sz w:val="22"/>
          <w:szCs w:val="22"/>
          <w:lang w:eastAsia="en-US"/>
          <w14:ligatures w14:val="standardContextual"/>
        </w:rPr>
        <w:t xml:space="preserve">SI, se la strada vicinale è privata ed è l’unica via di accesso all’abitazione principale, abituale e continuativa o all’edificio residenziale in cui è presente almeno un’abitazione principale, abituale e continuativa. Se la strada è al servizio di più abitazioni e/o comunque di un edificio residenziale, la domanda di contributo è presentata dall’amministratore del condominio, se costituito o, se non costituito,  da uno dei condomini, proprietari delle abitazioni. </w:t>
      </w:r>
    </w:p>
    <w:p w14:paraId="630160CC" w14:textId="77777777" w:rsidR="003770D8" w:rsidRPr="00DE33F4" w:rsidRDefault="003770D8" w:rsidP="00DE33F4">
      <w:pPr>
        <w:pStyle w:val="NormaleWeb"/>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kern w:val="2"/>
          <w:sz w:val="22"/>
          <w:szCs w:val="22"/>
          <w:lang w:eastAsia="en-US"/>
          <w14:ligatures w14:val="standardContextual"/>
        </w:rPr>
      </w:pPr>
    </w:p>
    <w:p w14:paraId="625A953A" w14:textId="67440B4E" w:rsidR="00520CD7" w:rsidRPr="00DE33F4" w:rsidRDefault="00ED559A" w:rsidP="00DE33F4">
      <w:pPr>
        <w:pStyle w:val="NormaleWeb"/>
        <w:numPr>
          <w:ilvl w:val="0"/>
          <w:numId w:val="5"/>
        </w:numPr>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b/>
          <w:bCs/>
          <w:color w:val="FF0000"/>
          <w:kern w:val="2"/>
          <w:sz w:val="22"/>
          <w:szCs w:val="22"/>
          <w:lang w:eastAsia="en-US"/>
          <w14:ligatures w14:val="standardContextual"/>
        </w:rPr>
      </w:pPr>
      <w:r w:rsidRPr="00DE33F4">
        <w:rPr>
          <w:rFonts w:asciiTheme="minorHAnsi" w:hAnsiTheme="minorHAnsi" w:cstheme="minorHAnsi"/>
          <w:b/>
          <w:bCs/>
          <w:color w:val="FF0000"/>
          <w:sz w:val="22"/>
          <w:szCs w:val="22"/>
        </w:rPr>
        <w:t xml:space="preserve">Sono </w:t>
      </w:r>
      <w:r w:rsidR="00520CD7" w:rsidRPr="00DE33F4">
        <w:rPr>
          <w:rFonts w:asciiTheme="minorHAnsi" w:hAnsiTheme="minorHAnsi" w:cstheme="minorHAnsi"/>
          <w:b/>
          <w:bCs/>
          <w:color w:val="FF0000"/>
          <w:sz w:val="22"/>
          <w:szCs w:val="22"/>
        </w:rPr>
        <w:t>ammissibili</w:t>
      </w:r>
      <w:r w:rsidRPr="00DE33F4">
        <w:rPr>
          <w:rFonts w:asciiTheme="minorHAnsi" w:hAnsiTheme="minorHAnsi" w:cstheme="minorHAnsi"/>
          <w:b/>
          <w:bCs/>
          <w:color w:val="FF0000"/>
          <w:sz w:val="22"/>
          <w:szCs w:val="22"/>
        </w:rPr>
        <w:t xml:space="preserve"> a contributo le spese per l’acquisto/rispristino di: </w:t>
      </w:r>
      <w:r w:rsidR="00520CD7" w:rsidRPr="00DE33F4">
        <w:rPr>
          <w:rFonts w:asciiTheme="minorHAnsi" w:hAnsiTheme="minorHAnsi" w:cstheme="minorHAnsi"/>
          <w:b/>
          <w:bCs/>
          <w:color w:val="FF0000"/>
          <w:sz w:val="22"/>
          <w:szCs w:val="22"/>
        </w:rPr>
        <w:t>b</w:t>
      </w:r>
      <w:r w:rsidRPr="00DE33F4">
        <w:rPr>
          <w:rFonts w:asciiTheme="minorHAnsi" w:hAnsiTheme="minorHAnsi" w:cstheme="minorHAnsi"/>
          <w:b/>
          <w:bCs/>
          <w:color w:val="FF0000"/>
          <w:sz w:val="22"/>
          <w:szCs w:val="22"/>
        </w:rPr>
        <w:t>iciclette, occhiali, trapani</w:t>
      </w:r>
      <w:r w:rsidR="00DF58C7" w:rsidRPr="00DE33F4">
        <w:rPr>
          <w:rFonts w:asciiTheme="minorHAnsi" w:hAnsiTheme="minorHAnsi" w:cstheme="minorHAnsi"/>
          <w:b/>
          <w:bCs/>
          <w:color w:val="FF0000"/>
          <w:sz w:val="22"/>
          <w:szCs w:val="22"/>
        </w:rPr>
        <w:t xml:space="preserve"> (anche con funzione di avvitatore)</w:t>
      </w:r>
      <w:r w:rsidRPr="00DE33F4">
        <w:rPr>
          <w:rFonts w:asciiTheme="minorHAnsi" w:hAnsiTheme="minorHAnsi" w:cstheme="minorHAnsi"/>
          <w:b/>
          <w:bCs/>
          <w:color w:val="FF0000"/>
          <w:sz w:val="22"/>
          <w:szCs w:val="22"/>
        </w:rPr>
        <w:t>, compressori,</w:t>
      </w:r>
      <w:r w:rsidR="000E0088" w:rsidRPr="00DE33F4">
        <w:rPr>
          <w:rFonts w:asciiTheme="minorHAnsi" w:hAnsiTheme="minorHAnsi" w:cstheme="minorHAnsi"/>
          <w:b/>
          <w:bCs/>
          <w:color w:val="FF0000"/>
          <w:sz w:val="22"/>
          <w:szCs w:val="22"/>
        </w:rPr>
        <w:t xml:space="preserve"> </w:t>
      </w:r>
      <w:r w:rsidR="00C41FAB" w:rsidRPr="00DE33F4">
        <w:rPr>
          <w:rFonts w:asciiTheme="minorHAnsi" w:hAnsiTheme="minorHAnsi" w:cstheme="minorHAnsi"/>
          <w:b/>
          <w:bCs/>
          <w:color w:val="FF0000"/>
          <w:sz w:val="22"/>
          <w:szCs w:val="22"/>
        </w:rPr>
        <w:t>spazzolin</w:t>
      </w:r>
      <w:r w:rsidR="00501CED" w:rsidRPr="00DE33F4">
        <w:rPr>
          <w:rFonts w:asciiTheme="minorHAnsi" w:hAnsiTheme="minorHAnsi" w:cstheme="minorHAnsi"/>
          <w:b/>
          <w:bCs/>
          <w:color w:val="FF0000"/>
          <w:sz w:val="22"/>
          <w:szCs w:val="22"/>
        </w:rPr>
        <w:t>i</w:t>
      </w:r>
      <w:r w:rsidR="00C41FAB" w:rsidRPr="00DE33F4">
        <w:rPr>
          <w:rFonts w:asciiTheme="minorHAnsi" w:hAnsiTheme="minorHAnsi" w:cstheme="minorHAnsi"/>
          <w:b/>
          <w:bCs/>
          <w:color w:val="FF0000"/>
          <w:sz w:val="22"/>
          <w:szCs w:val="22"/>
        </w:rPr>
        <w:t>, piastr</w:t>
      </w:r>
      <w:r w:rsidR="00501CED" w:rsidRPr="00DE33F4">
        <w:rPr>
          <w:rFonts w:asciiTheme="minorHAnsi" w:hAnsiTheme="minorHAnsi" w:cstheme="minorHAnsi"/>
          <w:b/>
          <w:bCs/>
          <w:color w:val="FF0000"/>
          <w:sz w:val="22"/>
          <w:szCs w:val="22"/>
        </w:rPr>
        <w:t>e</w:t>
      </w:r>
      <w:r w:rsidR="00C41FAB" w:rsidRPr="00DE33F4">
        <w:rPr>
          <w:rFonts w:asciiTheme="minorHAnsi" w:hAnsiTheme="minorHAnsi" w:cstheme="minorHAnsi"/>
          <w:b/>
          <w:bCs/>
          <w:color w:val="FF0000"/>
          <w:sz w:val="22"/>
          <w:szCs w:val="22"/>
        </w:rPr>
        <w:t xml:space="preserve"> </w:t>
      </w:r>
      <w:r w:rsidR="004C577C" w:rsidRPr="00DE33F4">
        <w:rPr>
          <w:rFonts w:asciiTheme="minorHAnsi" w:hAnsiTheme="minorHAnsi" w:cstheme="minorHAnsi"/>
          <w:b/>
          <w:bCs/>
          <w:color w:val="FF0000"/>
          <w:sz w:val="22"/>
          <w:szCs w:val="22"/>
        </w:rPr>
        <w:t xml:space="preserve">capelli, </w:t>
      </w:r>
      <w:r w:rsidR="00A32D29" w:rsidRPr="00DE33F4">
        <w:rPr>
          <w:rFonts w:asciiTheme="minorHAnsi" w:hAnsiTheme="minorHAnsi" w:cstheme="minorHAnsi"/>
          <w:b/>
          <w:bCs/>
          <w:color w:val="FF0000"/>
          <w:sz w:val="22"/>
          <w:szCs w:val="22"/>
        </w:rPr>
        <w:t>smerigliatric</w:t>
      </w:r>
      <w:r w:rsidR="00501CED" w:rsidRPr="00DE33F4">
        <w:rPr>
          <w:rFonts w:asciiTheme="minorHAnsi" w:hAnsiTheme="minorHAnsi" w:cstheme="minorHAnsi"/>
          <w:b/>
          <w:bCs/>
          <w:color w:val="FF0000"/>
          <w:sz w:val="22"/>
          <w:szCs w:val="22"/>
        </w:rPr>
        <w:t>i</w:t>
      </w:r>
      <w:r w:rsidR="00A32D29" w:rsidRPr="00DE33F4">
        <w:rPr>
          <w:rFonts w:asciiTheme="minorHAnsi" w:hAnsiTheme="minorHAnsi" w:cstheme="minorHAnsi"/>
          <w:b/>
          <w:bCs/>
          <w:color w:val="FF0000"/>
          <w:sz w:val="22"/>
          <w:szCs w:val="22"/>
        </w:rPr>
        <w:t>, idropulitric</w:t>
      </w:r>
      <w:r w:rsidR="00501CED" w:rsidRPr="00DE33F4">
        <w:rPr>
          <w:rFonts w:asciiTheme="minorHAnsi" w:hAnsiTheme="minorHAnsi" w:cstheme="minorHAnsi"/>
          <w:b/>
          <w:bCs/>
          <w:color w:val="FF0000"/>
          <w:sz w:val="22"/>
          <w:szCs w:val="22"/>
        </w:rPr>
        <w:t>i</w:t>
      </w:r>
      <w:r w:rsidR="00A32D29" w:rsidRPr="00DE33F4">
        <w:rPr>
          <w:rFonts w:asciiTheme="minorHAnsi" w:hAnsiTheme="minorHAnsi" w:cstheme="minorHAnsi"/>
          <w:b/>
          <w:bCs/>
          <w:color w:val="FF0000"/>
          <w:sz w:val="22"/>
          <w:szCs w:val="22"/>
        </w:rPr>
        <w:t xml:space="preserve">, </w:t>
      </w:r>
      <w:r w:rsidR="00520CD7" w:rsidRPr="00DE33F4">
        <w:rPr>
          <w:rFonts w:asciiTheme="minorHAnsi" w:hAnsiTheme="minorHAnsi" w:cstheme="minorHAnsi"/>
          <w:b/>
          <w:bCs/>
          <w:color w:val="FF0000"/>
          <w:sz w:val="22"/>
          <w:szCs w:val="22"/>
        </w:rPr>
        <w:t>etc.?</w:t>
      </w:r>
    </w:p>
    <w:p w14:paraId="24D6ABAD" w14:textId="77777777" w:rsidR="00504B33" w:rsidRDefault="00504B33" w:rsidP="00DE33F4">
      <w:pPr>
        <w:pStyle w:val="NormaleWeb"/>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kern w:val="2"/>
          <w:sz w:val="22"/>
          <w:szCs w:val="22"/>
          <w:lang w:eastAsia="en-US"/>
          <w14:ligatures w14:val="standardContextual"/>
        </w:rPr>
      </w:pPr>
    </w:p>
    <w:p w14:paraId="159C7A8E" w14:textId="4E58197D" w:rsidR="00B302B8" w:rsidRDefault="005A60C3" w:rsidP="00DE33F4">
      <w:pPr>
        <w:pStyle w:val="NormaleWeb"/>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kern w:val="2"/>
          <w:sz w:val="22"/>
          <w:szCs w:val="22"/>
          <w:lang w:eastAsia="en-US"/>
          <w14:ligatures w14:val="standardContextual"/>
        </w:rPr>
      </w:pPr>
      <w:r w:rsidRPr="00DE33F4">
        <w:rPr>
          <w:rFonts w:asciiTheme="minorHAnsi" w:eastAsiaTheme="minorHAnsi" w:hAnsiTheme="minorHAnsi" w:cstheme="minorHAnsi"/>
          <w:kern w:val="2"/>
          <w:sz w:val="22"/>
          <w:szCs w:val="22"/>
          <w:lang w:eastAsia="en-US"/>
          <w14:ligatures w14:val="standardContextual"/>
        </w:rPr>
        <w:t>È</w:t>
      </w:r>
      <w:r w:rsidR="00EB6F32" w:rsidRPr="00DE33F4">
        <w:rPr>
          <w:rFonts w:asciiTheme="minorHAnsi" w:eastAsiaTheme="minorHAnsi" w:hAnsiTheme="minorHAnsi" w:cstheme="minorHAnsi"/>
          <w:kern w:val="2"/>
          <w:sz w:val="22"/>
          <w:szCs w:val="22"/>
          <w:lang w:eastAsia="en-US"/>
          <w14:ligatures w14:val="standardContextual"/>
        </w:rPr>
        <w:t xml:space="preserve"> riconoscibile ciò che </w:t>
      </w:r>
      <w:r w:rsidR="00B302B8" w:rsidRPr="00DE33F4">
        <w:rPr>
          <w:rFonts w:asciiTheme="minorHAnsi" w:eastAsiaTheme="minorHAnsi" w:hAnsiTheme="minorHAnsi" w:cstheme="minorHAnsi"/>
          <w:kern w:val="2"/>
          <w:sz w:val="22"/>
          <w:szCs w:val="22"/>
          <w:lang w:eastAsia="en-US"/>
          <w14:ligatures w14:val="standardContextual"/>
        </w:rPr>
        <w:t>rientra nella categoria degli  “elettrodomestici” e  in quella di “utensili di uso comune”</w:t>
      </w:r>
      <w:r w:rsidR="00EB6F32" w:rsidRPr="00DE33F4">
        <w:rPr>
          <w:rFonts w:asciiTheme="minorHAnsi" w:eastAsiaTheme="minorHAnsi" w:hAnsiTheme="minorHAnsi" w:cstheme="minorHAnsi"/>
          <w:kern w:val="2"/>
          <w:sz w:val="22"/>
          <w:szCs w:val="22"/>
          <w:lang w:eastAsia="en-US"/>
          <w14:ligatures w14:val="standardContextual"/>
        </w:rPr>
        <w:t>.</w:t>
      </w:r>
    </w:p>
    <w:p w14:paraId="48DCF4FA" w14:textId="77777777" w:rsidR="003770D8" w:rsidRPr="00DE33F4" w:rsidRDefault="003770D8" w:rsidP="00DE33F4">
      <w:pPr>
        <w:pStyle w:val="NormaleWeb"/>
        <w:shd w:val="clear" w:color="auto" w:fill="FFFFFF" w:themeFill="background1"/>
        <w:spacing w:before="120" w:beforeAutospacing="0" w:after="240" w:afterAutospacing="0"/>
        <w:ind w:left="284"/>
        <w:contextualSpacing/>
        <w:mirrorIndents/>
        <w:jc w:val="both"/>
        <w:rPr>
          <w:rFonts w:asciiTheme="minorHAnsi" w:eastAsiaTheme="minorHAnsi" w:hAnsiTheme="minorHAnsi" w:cstheme="minorHAnsi"/>
          <w:kern w:val="2"/>
          <w:sz w:val="22"/>
          <w:szCs w:val="22"/>
          <w:lang w:eastAsia="en-US"/>
          <w14:ligatures w14:val="standardContextual"/>
        </w:rPr>
      </w:pPr>
    </w:p>
    <w:p w14:paraId="2BC72527" w14:textId="7E6A0E40" w:rsidR="00451355" w:rsidRPr="00DE33F4" w:rsidRDefault="00451355" w:rsidP="00FC679B">
      <w:pPr>
        <w:pStyle w:val="NormaleWeb"/>
        <w:numPr>
          <w:ilvl w:val="0"/>
          <w:numId w:val="5"/>
        </w:numPr>
        <w:shd w:val="clear" w:color="auto" w:fill="FFFFFF" w:themeFill="background1"/>
        <w:spacing w:before="120" w:beforeAutospacing="0" w:after="0" w:afterAutospacing="0"/>
        <w:ind w:left="284"/>
        <w:contextualSpacing/>
        <w:mirrorIndents/>
        <w:jc w:val="both"/>
        <w:rPr>
          <w:rFonts w:asciiTheme="minorHAnsi" w:hAnsiTheme="minorHAnsi" w:cstheme="minorHAnsi"/>
          <w:b/>
          <w:bCs/>
          <w:color w:val="FF0000"/>
          <w:sz w:val="22"/>
          <w:szCs w:val="22"/>
        </w:rPr>
      </w:pPr>
      <w:r w:rsidRPr="00DE33F4">
        <w:rPr>
          <w:rFonts w:asciiTheme="minorHAnsi" w:hAnsiTheme="minorHAnsi" w:cstheme="minorHAnsi"/>
          <w:b/>
          <w:bCs/>
          <w:color w:val="FF0000"/>
          <w:sz w:val="22"/>
          <w:szCs w:val="22"/>
        </w:rPr>
        <w:t xml:space="preserve"> </w:t>
      </w:r>
      <w:r w:rsidR="005A60C3" w:rsidRPr="00DE33F4">
        <w:rPr>
          <w:rFonts w:asciiTheme="minorHAnsi" w:hAnsiTheme="minorHAnsi" w:cstheme="minorHAnsi"/>
          <w:b/>
          <w:bCs/>
          <w:color w:val="FF0000"/>
          <w:sz w:val="22"/>
          <w:szCs w:val="22"/>
        </w:rPr>
        <w:t>È</w:t>
      </w:r>
      <w:r w:rsidRPr="00DE33F4">
        <w:rPr>
          <w:rFonts w:asciiTheme="minorHAnsi" w:hAnsiTheme="minorHAnsi" w:cstheme="minorHAnsi"/>
          <w:b/>
          <w:bCs/>
          <w:color w:val="FF0000"/>
          <w:sz w:val="22"/>
          <w:szCs w:val="22"/>
        </w:rPr>
        <w:t xml:space="preserve"> riconosci</w:t>
      </w:r>
      <w:r w:rsidR="00BA6CC5" w:rsidRPr="00DE33F4">
        <w:rPr>
          <w:rFonts w:asciiTheme="minorHAnsi" w:hAnsiTheme="minorHAnsi" w:cstheme="minorHAnsi"/>
          <w:b/>
          <w:bCs/>
          <w:color w:val="FF0000"/>
          <w:sz w:val="22"/>
          <w:szCs w:val="22"/>
        </w:rPr>
        <w:t>bile</w:t>
      </w:r>
      <w:r w:rsidRPr="00DE33F4">
        <w:rPr>
          <w:rFonts w:asciiTheme="minorHAnsi" w:hAnsiTheme="minorHAnsi" w:cstheme="minorHAnsi"/>
          <w:b/>
          <w:bCs/>
          <w:color w:val="FF0000"/>
          <w:sz w:val="22"/>
          <w:szCs w:val="22"/>
        </w:rPr>
        <w:t xml:space="preserve"> il contributo per il  ripristino di aree e fondi esterni necessari per l’accesso all’edificio residenziale  in cui NON è presente  almeno un’abitazione principale, abituale e continuativa? </w:t>
      </w:r>
    </w:p>
    <w:p w14:paraId="11E906C3" w14:textId="77777777" w:rsidR="00451355" w:rsidRPr="00DE33F4" w:rsidRDefault="00451355" w:rsidP="00DE33F4">
      <w:pPr>
        <w:pStyle w:val="Paragrafoelenco"/>
        <w:shd w:val="clear" w:color="auto" w:fill="FFFFFF" w:themeFill="background1"/>
        <w:spacing w:before="120" w:after="240" w:line="240" w:lineRule="auto"/>
        <w:ind w:left="284"/>
        <w:mirrorIndents/>
        <w:jc w:val="both"/>
        <w:rPr>
          <w:rFonts w:cstheme="minorHAnsi"/>
        </w:rPr>
      </w:pPr>
      <w:r w:rsidRPr="00DE33F4">
        <w:rPr>
          <w:rFonts w:eastAsia="Times New Roman" w:cstheme="minorHAnsi"/>
          <w:b/>
          <w:bCs/>
        </w:rPr>
        <w:t>NO</w:t>
      </w:r>
      <w:r w:rsidRPr="00DE33F4">
        <w:rPr>
          <w:rFonts w:cstheme="minorHAnsi"/>
        </w:rPr>
        <w:t xml:space="preserve">.  </w:t>
      </w:r>
    </w:p>
    <w:p w14:paraId="6F503A78" w14:textId="0C93D282" w:rsidR="00E86396" w:rsidRPr="00DE33F4" w:rsidRDefault="00E86396" w:rsidP="003770D8">
      <w:pPr>
        <w:pStyle w:val="NormaleWeb"/>
        <w:numPr>
          <w:ilvl w:val="0"/>
          <w:numId w:val="5"/>
        </w:numPr>
        <w:shd w:val="clear" w:color="auto" w:fill="FFFFFF" w:themeFill="background1"/>
        <w:spacing w:before="120" w:beforeAutospacing="0" w:after="240" w:afterAutospacing="0"/>
        <w:ind w:left="284"/>
        <w:contextualSpacing/>
        <w:mirrorIndents/>
        <w:jc w:val="both"/>
        <w:rPr>
          <w:rFonts w:asciiTheme="minorHAnsi" w:hAnsiTheme="minorHAnsi" w:cstheme="minorHAnsi"/>
          <w:b/>
          <w:bCs/>
          <w:color w:val="FF0000"/>
          <w:sz w:val="22"/>
          <w:szCs w:val="22"/>
        </w:rPr>
      </w:pPr>
      <w:r w:rsidRPr="00DE33F4">
        <w:rPr>
          <w:rFonts w:asciiTheme="minorHAnsi" w:hAnsiTheme="minorHAnsi" w:cstheme="minorHAnsi"/>
          <w:b/>
          <w:bCs/>
          <w:color w:val="FF0000"/>
          <w:sz w:val="22"/>
          <w:szCs w:val="22"/>
        </w:rPr>
        <w:t xml:space="preserve">Cosa si intende per fruibilità? </w:t>
      </w:r>
    </w:p>
    <w:p w14:paraId="761C35D1" w14:textId="2C45816A" w:rsidR="00E86396" w:rsidRPr="00DE33F4" w:rsidRDefault="009368F9" w:rsidP="00DE33F4">
      <w:pPr>
        <w:shd w:val="clear" w:color="auto" w:fill="FFFFFF" w:themeFill="background1"/>
        <w:spacing w:before="120" w:after="240" w:line="240" w:lineRule="auto"/>
        <w:ind w:left="284"/>
        <w:contextualSpacing/>
        <w:mirrorIndents/>
        <w:jc w:val="both"/>
        <w:rPr>
          <w:rFonts w:eastAsia="Times New Roman" w:cstheme="minorHAnsi"/>
        </w:rPr>
      </w:pPr>
      <w:r w:rsidRPr="00C65E47">
        <w:rPr>
          <w:rFonts w:eastAsia="Times New Roman" w:cstheme="minorHAnsi"/>
        </w:rPr>
        <w:t>S</w:t>
      </w:r>
      <w:r w:rsidR="00E86396" w:rsidRPr="00C65E47">
        <w:rPr>
          <w:rFonts w:eastAsia="Times New Roman" w:cstheme="minorHAnsi"/>
        </w:rPr>
        <w:t xml:space="preserve">i intende la possibilità di utilizzo </w:t>
      </w:r>
      <w:r w:rsidR="00CA5383" w:rsidRPr="00C65E47">
        <w:rPr>
          <w:rFonts w:eastAsia="Times New Roman" w:cstheme="minorHAnsi"/>
        </w:rPr>
        <w:t xml:space="preserve">dell’abitazione principale </w:t>
      </w:r>
      <w:r w:rsidR="00EF3DBB" w:rsidRPr="00C65E47">
        <w:rPr>
          <w:rFonts w:eastAsia="Times New Roman" w:cstheme="minorHAnsi"/>
        </w:rPr>
        <w:t>e/</w:t>
      </w:r>
      <w:r w:rsidR="00CA5383" w:rsidRPr="00C65E47">
        <w:rPr>
          <w:rFonts w:eastAsia="Times New Roman" w:cstheme="minorHAnsi"/>
        </w:rPr>
        <w:t>o delle parti comuni dell’edificio residenziale</w:t>
      </w:r>
      <w:r w:rsidR="00CA5383" w:rsidRPr="00DE33F4">
        <w:rPr>
          <w:rFonts w:eastAsia="Times New Roman" w:cstheme="minorHAnsi"/>
        </w:rPr>
        <w:t xml:space="preserve"> </w:t>
      </w:r>
      <w:r w:rsidR="00E86396" w:rsidRPr="00DE33F4">
        <w:rPr>
          <w:rFonts w:eastAsia="Times New Roman" w:cstheme="minorHAnsi"/>
        </w:rPr>
        <w:t xml:space="preserve">solo  una volta ripristinati i relativi danni, quali, ad esempio: quelli agli impianti di erogazione dei servizi essenziali (acqua, e/o gas e/o corrente elettrica e/o sistema fognario), quelli all’area/fondo esterno che non consentono l’accesso all’edificio e conseguentemente all’abitazione, principale, abituale e continuativa ivi ubicata, quelli strutturali che ne  hanno compromesso o potrebbero compromettere la </w:t>
      </w:r>
      <w:r w:rsidR="00E86396" w:rsidRPr="00DE33F4">
        <w:rPr>
          <w:rFonts w:eastAsia="Times New Roman" w:cstheme="minorHAnsi"/>
        </w:rPr>
        <w:lastRenderedPageBreak/>
        <w:t>sicurezza strutturale e/o, quelli non strutturali (finiture: intonacatura, tinteggiatura delle facciate interne ed esterne, pavimentazione interna, serramenti) che, anche in caso di ristagno ed infiltrazione d’acqua, ne hanno compromesso la funzionalità e/o i requisiti igienico/sanitari</w:t>
      </w:r>
    </w:p>
    <w:p w14:paraId="6F60DE9D" w14:textId="1A0E75F4" w:rsidR="005B3A85" w:rsidRPr="00672C8A" w:rsidRDefault="005B3A85" w:rsidP="00672C8A">
      <w:pPr>
        <w:pStyle w:val="NormaleWeb"/>
        <w:numPr>
          <w:ilvl w:val="0"/>
          <w:numId w:val="5"/>
        </w:numPr>
        <w:shd w:val="clear" w:color="auto" w:fill="FFFFFF" w:themeFill="background1"/>
        <w:spacing w:before="120" w:beforeAutospacing="0" w:after="240" w:afterAutospacing="0"/>
        <w:ind w:left="142" w:firstLine="0"/>
        <w:contextualSpacing/>
        <w:mirrorIndents/>
        <w:jc w:val="both"/>
        <w:rPr>
          <w:rFonts w:asciiTheme="minorHAnsi" w:hAnsiTheme="minorHAnsi" w:cstheme="minorHAnsi"/>
          <w:b/>
          <w:bCs/>
          <w:color w:val="FF0000"/>
          <w:sz w:val="22"/>
          <w:szCs w:val="22"/>
        </w:rPr>
      </w:pPr>
      <w:r w:rsidRPr="00672C8A">
        <w:rPr>
          <w:rFonts w:asciiTheme="minorHAnsi" w:hAnsiTheme="minorHAnsi" w:cstheme="minorHAnsi"/>
          <w:b/>
          <w:bCs/>
          <w:color w:val="FF0000"/>
          <w:sz w:val="22"/>
          <w:szCs w:val="22"/>
        </w:rPr>
        <w:t xml:space="preserve"> </w:t>
      </w:r>
      <w:r w:rsidR="0032378E" w:rsidRPr="00672C8A">
        <w:rPr>
          <w:rFonts w:asciiTheme="minorHAnsi" w:hAnsiTheme="minorHAnsi" w:cstheme="minorHAnsi"/>
          <w:b/>
          <w:bCs/>
          <w:color w:val="FF0000"/>
          <w:sz w:val="22"/>
          <w:szCs w:val="22"/>
        </w:rPr>
        <w:t xml:space="preserve">Impianti di erogazione servizi essenziali per </w:t>
      </w:r>
      <w:r w:rsidRPr="00672C8A">
        <w:rPr>
          <w:rFonts w:asciiTheme="minorHAnsi" w:hAnsiTheme="minorHAnsi" w:cstheme="minorHAnsi"/>
          <w:b/>
          <w:bCs/>
          <w:color w:val="FF0000"/>
          <w:sz w:val="22"/>
          <w:szCs w:val="22"/>
        </w:rPr>
        <w:t>l’abitazione abitazione principale, abituale e continuativa.</w:t>
      </w:r>
    </w:p>
    <w:p w14:paraId="7249151C" w14:textId="5C9D709F" w:rsidR="005B3A85" w:rsidRPr="00DE33F4" w:rsidRDefault="005B3A85" w:rsidP="00DE33F4">
      <w:pPr>
        <w:shd w:val="clear" w:color="auto" w:fill="FFFFFF" w:themeFill="background1"/>
        <w:spacing w:before="120" w:after="240" w:line="240" w:lineRule="auto"/>
        <w:ind w:left="284"/>
        <w:contextualSpacing/>
        <w:mirrorIndents/>
        <w:jc w:val="both"/>
        <w:rPr>
          <w:rFonts w:cstheme="minorHAnsi"/>
        </w:rPr>
      </w:pPr>
      <w:r w:rsidRPr="00DE33F4">
        <w:rPr>
          <w:rFonts w:cstheme="minorHAnsi"/>
        </w:rPr>
        <w:t xml:space="preserve">Nel caso di </w:t>
      </w:r>
      <w:r w:rsidR="00140C80" w:rsidRPr="00DE33F4">
        <w:rPr>
          <w:rFonts w:cstheme="minorHAnsi"/>
        </w:rPr>
        <w:t xml:space="preserve">danneggiamento degli </w:t>
      </w:r>
      <w:r w:rsidR="00C51BD2" w:rsidRPr="00DE33F4">
        <w:rPr>
          <w:rFonts w:cstheme="minorHAnsi"/>
        </w:rPr>
        <w:t>impianti di erogazione di servizi essenziali</w:t>
      </w:r>
      <w:r w:rsidR="00BC5AC2" w:rsidRPr="00DE33F4">
        <w:rPr>
          <w:rFonts w:cstheme="minorHAnsi"/>
        </w:rPr>
        <w:t xml:space="preserve"> </w:t>
      </w:r>
      <w:r w:rsidR="00BB5047" w:rsidRPr="00DE33F4">
        <w:rPr>
          <w:rFonts w:cstheme="minorHAnsi"/>
        </w:rPr>
        <w:t>per l’abitazione principale, abituale e continuativa</w:t>
      </w:r>
      <w:r w:rsidR="00C51BD2" w:rsidRPr="00DE33F4">
        <w:rPr>
          <w:rFonts w:cstheme="minorHAnsi"/>
        </w:rPr>
        <w:t xml:space="preserve"> </w:t>
      </w:r>
      <w:r w:rsidRPr="00DE33F4">
        <w:rPr>
          <w:rFonts w:cstheme="minorHAnsi"/>
        </w:rPr>
        <w:t>(</w:t>
      </w:r>
      <w:r w:rsidR="00C51BD2" w:rsidRPr="00DE33F4">
        <w:rPr>
          <w:rFonts w:cstheme="minorHAnsi"/>
        </w:rPr>
        <w:t>acqua</w:t>
      </w:r>
      <w:r w:rsidR="003A6F85" w:rsidRPr="00DE33F4">
        <w:rPr>
          <w:rFonts w:cstheme="minorHAnsi"/>
        </w:rPr>
        <w:t xml:space="preserve"> e/o gas e/o corrente elettrica e/o</w:t>
      </w:r>
      <w:r w:rsidR="002E0EE8" w:rsidRPr="00DE33F4">
        <w:rPr>
          <w:rFonts w:cstheme="minorHAnsi"/>
        </w:rPr>
        <w:t xml:space="preserve"> impianti idrici e </w:t>
      </w:r>
      <w:r w:rsidR="003A6F85" w:rsidRPr="00DE33F4">
        <w:rPr>
          <w:rFonts w:cstheme="minorHAnsi"/>
        </w:rPr>
        <w:t>fognari</w:t>
      </w:r>
      <w:r w:rsidRPr="00DE33F4">
        <w:rPr>
          <w:rFonts w:cstheme="minorHAnsi"/>
        </w:rPr>
        <w:t>) presenti</w:t>
      </w:r>
      <w:r w:rsidR="00140C80" w:rsidRPr="00DE33F4">
        <w:rPr>
          <w:rFonts w:cstheme="minorHAnsi"/>
        </w:rPr>
        <w:t xml:space="preserve"> </w:t>
      </w:r>
      <w:r w:rsidRPr="00DE33F4">
        <w:rPr>
          <w:rFonts w:cstheme="minorHAnsi"/>
        </w:rPr>
        <w:t>all’interno di cantine, box, etc. – pertinenze o meno dell’abitazione principale, abituale e continuativa del proprietario o dell’inquilino (locatario, comodatario, usufruttuario) – la domanda di contributo può essere richiesta anche se l’abitazione non ha subito direttamente danni</w:t>
      </w:r>
      <w:r w:rsidR="00053932" w:rsidRPr="00DE33F4">
        <w:rPr>
          <w:rFonts w:cstheme="minorHAnsi"/>
        </w:rPr>
        <w:t xml:space="preserve">. </w:t>
      </w:r>
      <w:r w:rsidR="00F3609A" w:rsidRPr="00DE33F4">
        <w:rPr>
          <w:rFonts w:cstheme="minorHAnsi"/>
        </w:rPr>
        <w:t>Il contributo, in tal caso, spetta per:</w:t>
      </w:r>
      <w:r w:rsidR="00B01CFE" w:rsidRPr="00DE33F4">
        <w:rPr>
          <w:rFonts w:cstheme="minorHAnsi"/>
        </w:rPr>
        <w:t xml:space="preserve"> opere, installazioni, manufatti di qualunque genere destinati all'uso comune</w:t>
      </w:r>
      <w:r w:rsidR="002A4D1D" w:rsidRPr="00DE33F4">
        <w:rPr>
          <w:rFonts w:cstheme="minorHAnsi"/>
        </w:rPr>
        <w:t xml:space="preserve"> </w:t>
      </w:r>
      <w:r w:rsidR="00B01CFE" w:rsidRPr="00DE33F4">
        <w:rPr>
          <w:rFonts w:cstheme="minorHAnsi"/>
        </w:rPr>
        <w:t>e i relativi collegamenti fino al punto di diramazione ai locali di proprietà individuale dei singoli condomini, ovvero, in caso di impianti unitari, fino al punto di utenza</w:t>
      </w:r>
      <w:r w:rsidR="003E5CA4" w:rsidRPr="00DE33F4">
        <w:rPr>
          <w:rFonts w:cstheme="minorHAnsi"/>
        </w:rPr>
        <w:t>.</w:t>
      </w:r>
      <w:r w:rsidR="00E62892" w:rsidRPr="00DE33F4">
        <w:rPr>
          <w:rFonts w:cstheme="minorHAnsi"/>
        </w:rPr>
        <w:t xml:space="preserve"> </w:t>
      </w:r>
    </w:p>
    <w:p w14:paraId="79B15408" w14:textId="16545E77" w:rsidR="006037F3" w:rsidRPr="00672C8A" w:rsidRDefault="006037F3" w:rsidP="00672C8A">
      <w:pPr>
        <w:pStyle w:val="NormaleWeb"/>
        <w:numPr>
          <w:ilvl w:val="0"/>
          <w:numId w:val="5"/>
        </w:numPr>
        <w:shd w:val="clear" w:color="auto" w:fill="FFFFFF" w:themeFill="background1"/>
        <w:spacing w:before="120" w:beforeAutospacing="0" w:after="240" w:afterAutospacing="0"/>
        <w:ind w:left="426" w:hanging="426"/>
        <w:contextualSpacing/>
        <w:mirrorIndents/>
        <w:jc w:val="both"/>
        <w:rPr>
          <w:rFonts w:asciiTheme="minorHAnsi" w:hAnsiTheme="minorHAnsi" w:cstheme="minorHAnsi"/>
          <w:b/>
          <w:bCs/>
          <w:color w:val="FF0000"/>
          <w:sz w:val="22"/>
          <w:szCs w:val="22"/>
        </w:rPr>
      </w:pPr>
      <w:r w:rsidRPr="00672C8A">
        <w:rPr>
          <w:rFonts w:asciiTheme="minorHAnsi" w:hAnsiTheme="minorHAnsi" w:cstheme="minorHAnsi"/>
          <w:b/>
          <w:bCs/>
          <w:color w:val="FF0000"/>
          <w:sz w:val="22"/>
          <w:szCs w:val="22"/>
        </w:rPr>
        <w:t>Nel caso di un immobile dato in affitto che presenta danni alla struttura (di proprietà del proprietario) e danni ai beni (di proprietà dell'affittuario), la domanda può essere presentata da entrambi, ciascuno per la propria parte?</w:t>
      </w:r>
    </w:p>
    <w:p w14:paraId="22F1B6A9" w14:textId="0FC8AC51" w:rsidR="006037F3" w:rsidRPr="00DE33F4" w:rsidRDefault="006037F3" w:rsidP="00DE33F4">
      <w:pPr>
        <w:spacing w:before="120" w:after="240" w:line="240" w:lineRule="auto"/>
        <w:ind w:left="284"/>
        <w:contextualSpacing/>
        <w:mirrorIndents/>
        <w:jc w:val="both"/>
        <w:rPr>
          <w:rFonts w:cstheme="minorHAnsi"/>
          <w:color w:val="000000"/>
        </w:rPr>
      </w:pPr>
      <w:r w:rsidRPr="00DE33F4">
        <w:rPr>
          <w:rFonts w:cstheme="minorHAnsi"/>
        </w:rPr>
        <w:t xml:space="preserve">La domanda deve essere una sola per unità immobiliare; essendo stato approvato (in allegato 3 all’OCPDC </w:t>
      </w:r>
      <w:r w:rsidRPr="00C65E47">
        <w:rPr>
          <w:rFonts w:cstheme="minorHAnsi"/>
        </w:rPr>
        <w:t xml:space="preserve">n. 999/2023) </w:t>
      </w:r>
      <w:r w:rsidR="007F64CC" w:rsidRPr="00C65E47">
        <w:rPr>
          <w:rFonts w:cstheme="minorHAnsi"/>
        </w:rPr>
        <w:t>unicamente</w:t>
      </w:r>
      <w:r w:rsidRPr="00C65E47">
        <w:rPr>
          <w:rFonts w:cstheme="minorHAnsi"/>
        </w:rPr>
        <w:t> il modello di dichiarazione di rinuncia del proprietario, è desumibile una</w:t>
      </w:r>
      <w:r w:rsidRPr="00DE33F4">
        <w:rPr>
          <w:rFonts w:cstheme="minorHAnsi"/>
        </w:rPr>
        <w:t xml:space="preserve"> prevalenza alla presentazione della domanda da parte di quest’ultimo.</w:t>
      </w:r>
      <w:r w:rsidR="00AC35AB">
        <w:rPr>
          <w:rFonts w:cstheme="minorHAnsi"/>
        </w:rPr>
        <w:t xml:space="preserve"> </w:t>
      </w:r>
    </w:p>
    <w:p w14:paraId="13DAE6AB" w14:textId="77777777" w:rsidR="006037F3" w:rsidRPr="00DE33F4" w:rsidRDefault="006037F3" w:rsidP="00DE33F4">
      <w:pPr>
        <w:shd w:val="clear" w:color="auto" w:fill="FFFFFF" w:themeFill="background1"/>
        <w:spacing w:before="120" w:after="240" w:line="240" w:lineRule="auto"/>
        <w:ind w:left="284"/>
        <w:contextualSpacing/>
        <w:mirrorIndents/>
        <w:jc w:val="both"/>
        <w:rPr>
          <w:rFonts w:cstheme="minorHAnsi"/>
        </w:rPr>
      </w:pPr>
    </w:p>
    <w:p w14:paraId="3289E69D" w14:textId="77777777" w:rsidR="005B3A85" w:rsidRPr="00DE33F4" w:rsidRDefault="005B3A85" w:rsidP="00DE33F4">
      <w:pPr>
        <w:pStyle w:val="Paragrafoelenco"/>
        <w:spacing w:before="120" w:after="240" w:line="240" w:lineRule="auto"/>
        <w:ind w:left="284"/>
        <w:mirrorIndents/>
        <w:jc w:val="both"/>
        <w:rPr>
          <w:rFonts w:cstheme="minorHAnsi"/>
        </w:rPr>
      </w:pPr>
    </w:p>
    <w:p w14:paraId="6B0BB47C" w14:textId="77777777" w:rsidR="00451355" w:rsidRPr="00DE33F4" w:rsidRDefault="00451355" w:rsidP="00DE33F4">
      <w:pPr>
        <w:pStyle w:val="NormaleWeb"/>
        <w:shd w:val="clear" w:color="auto" w:fill="FFFFFF"/>
        <w:spacing w:before="120" w:beforeAutospacing="0" w:after="240" w:afterAutospacing="0"/>
        <w:ind w:left="284"/>
        <w:contextualSpacing/>
        <w:mirrorIndents/>
        <w:jc w:val="both"/>
        <w:rPr>
          <w:rFonts w:asciiTheme="minorHAnsi" w:eastAsiaTheme="minorHAnsi" w:hAnsiTheme="minorHAnsi" w:cstheme="minorHAnsi"/>
          <w:kern w:val="2"/>
          <w:sz w:val="22"/>
          <w:szCs w:val="22"/>
          <w:highlight w:val="cyan"/>
          <w:lang w:eastAsia="en-US"/>
          <w14:ligatures w14:val="standardContextual"/>
        </w:rPr>
      </w:pPr>
    </w:p>
    <w:p w14:paraId="1836CF5B" w14:textId="77777777" w:rsidR="00D10441" w:rsidRPr="00DE33F4" w:rsidRDefault="00D10441" w:rsidP="00DE33F4">
      <w:pPr>
        <w:pStyle w:val="Paragrafoelenco"/>
        <w:spacing w:before="120" w:after="240" w:line="240" w:lineRule="auto"/>
        <w:ind w:left="284"/>
        <w:mirrorIndents/>
        <w:jc w:val="both"/>
        <w:rPr>
          <w:rFonts w:cstheme="minorHAnsi"/>
          <w:b/>
          <w:bCs/>
        </w:rPr>
      </w:pPr>
    </w:p>
    <w:p w14:paraId="71D78F19"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2439CD9E"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6F5D2CAA"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39190EE5"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4010930A"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44277562"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79F5C10A"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4463CA98"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543FD52F"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15B25E6B"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12576858"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5315B546"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374A5F30"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1BCE7663"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585F3831"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6C45D76C"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43F22BA4"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3D505BD9"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0F5E3961"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294C50E7" w14:textId="77777777" w:rsidR="00E86396" w:rsidRPr="00DE33F4" w:rsidRDefault="00E86396" w:rsidP="00DE33F4">
      <w:pPr>
        <w:pStyle w:val="Paragrafoelenco"/>
        <w:spacing w:before="120" w:after="240" w:line="240" w:lineRule="auto"/>
        <w:ind w:left="284"/>
        <w:mirrorIndents/>
        <w:jc w:val="both"/>
        <w:rPr>
          <w:rFonts w:cstheme="minorHAnsi"/>
          <w:b/>
          <w:bCs/>
        </w:rPr>
      </w:pPr>
    </w:p>
    <w:p w14:paraId="0DE6108D" w14:textId="77777777" w:rsidR="002276B3" w:rsidRPr="00DE33F4" w:rsidRDefault="002276B3" w:rsidP="00DE33F4">
      <w:pPr>
        <w:pStyle w:val="Paragrafoelenco"/>
        <w:spacing w:before="120" w:after="240" w:line="240" w:lineRule="auto"/>
        <w:ind w:left="284"/>
        <w:mirrorIndents/>
        <w:jc w:val="both"/>
        <w:rPr>
          <w:rFonts w:cstheme="minorHAnsi"/>
          <w:b/>
          <w:bCs/>
        </w:rPr>
      </w:pPr>
    </w:p>
    <w:p w14:paraId="2F08DC73" w14:textId="77777777" w:rsidR="002276B3" w:rsidRDefault="002276B3" w:rsidP="00DE33F4">
      <w:pPr>
        <w:pStyle w:val="Paragrafoelenco"/>
        <w:spacing w:before="120" w:after="240" w:line="240" w:lineRule="auto"/>
        <w:ind w:left="284"/>
        <w:mirrorIndents/>
        <w:jc w:val="both"/>
        <w:rPr>
          <w:rFonts w:cstheme="minorHAnsi"/>
          <w:b/>
          <w:bCs/>
        </w:rPr>
      </w:pPr>
    </w:p>
    <w:p w14:paraId="49E42EAF" w14:textId="77777777" w:rsidR="00DE33F4" w:rsidRDefault="00DE33F4" w:rsidP="00DE33F4">
      <w:pPr>
        <w:pStyle w:val="Paragrafoelenco"/>
        <w:spacing w:before="120" w:after="240" w:line="240" w:lineRule="auto"/>
        <w:ind w:left="284"/>
        <w:mirrorIndents/>
        <w:jc w:val="both"/>
        <w:rPr>
          <w:rFonts w:cstheme="minorHAnsi"/>
          <w:b/>
          <w:bCs/>
        </w:rPr>
      </w:pPr>
    </w:p>
    <w:p w14:paraId="13B733BC" w14:textId="77777777" w:rsidR="00DE33F4" w:rsidRDefault="00DE33F4" w:rsidP="00DE33F4">
      <w:pPr>
        <w:pStyle w:val="Paragrafoelenco"/>
        <w:spacing w:before="120" w:after="240" w:line="240" w:lineRule="auto"/>
        <w:ind w:left="284"/>
        <w:mirrorIndents/>
        <w:jc w:val="both"/>
        <w:rPr>
          <w:rFonts w:cstheme="minorHAnsi"/>
          <w:b/>
          <w:bCs/>
        </w:rPr>
      </w:pPr>
    </w:p>
    <w:p w14:paraId="73C776DA" w14:textId="4D4C7A75" w:rsidR="00503706" w:rsidRPr="00C04EBC" w:rsidRDefault="00503706" w:rsidP="00746C3F">
      <w:pPr>
        <w:spacing w:before="120" w:after="240" w:line="276" w:lineRule="auto"/>
        <w:ind w:left="284"/>
        <w:contextualSpacing/>
        <w:mirrorIndents/>
        <w:jc w:val="center"/>
        <w:rPr>
          <w:b/>
          <w:bCs/>
          <w:color w:val="70AD47" w:themeColor="accent6"/>
          <w:spacing w:val="-8"/>
          <w:sz w:val="36"/>
          <w:szCs w:val="36"/>
          <w:u w:val="single"/>
        </w:rPr>
      </w:pPr>
      <w:r w:rsidRPr="00C04EBC">
        <w:rPr>
          <w:b/>
          <w:bCs/>
          <w:color w:val="70AD47" w:themeColor="accent6"/>
          <w:spacing w:val="-8"/>
          <w:sz w:val="36"/>
          <w:szCs w:val="36"/>
          <w:u w:val="single"/>
        </w:rPr>
        <w:lastRenderedPageBreak/>
        <w:t>SEZIONE FAQ CONTRIBUTO AUTONOMA SISTEMAZIONE (CAS)</w:t>
      </w:r>
      <w:r w:rsidR="009A0647" w:rsidRPr="00C04EBC">
        <w:rPr>
          <w:b/>
          <w:bCs/>
          <w:color w:val="70AD47" w:themeColor="accent6"/>
          <w:spacing w:val="-8"/>
          <w:sz w:val="36"/>
          <w:szCs w:val="36"/>
          <w:u w:val="single"/>
        </w:rPr>
        <w:t xml:space="preserve"> (</w:t>
      </w:r>
      <w:r w:rsidR="00840078" w:rsidRPr="00C04EBC">
        <w:rPr>
          <w:b/>
          <w:bCs/>
          <w:color w:val="70AD47" w:themeColor="accent6"/>
          <w:spacing w:val="-8"/>
          <w:sz w:val="36"/>
          <w:szCs w:val="36"/>
          <w:u w:val="single"/>
        </w:rPr>
        <w:t>6</w:t>
      </w:r>
      <w:r w:rsidR="009A0647" w:rsidRPr="00C04EBC">
        <w:rPr>
          <w:b/>
          <w:bCs/>
          <w:color w:val="70AD47" w:themeColor="accent6"/>
          <w:spacing w:val="-8"/>
          <w:sz w:val="36"/>
          <w:szCs w:val="36"/>
          <w:u w:val="single"/>
        </w:rPr>
        <w:t>)</w:t>
      </w:r>
    </w:p>
    <w:p w14:paraId="79F3A709" w14:textId="1ACD51B9" w:rsidR="00C04EBC" w:rsidRPr="00043505" w:rsidRDefault="00C04EBC" w:rsidP="00C04EBC">
      <w:pPr>
        <w:spacing w:before="120" w:after="240" w:line="240" w:lineRule="auto"/>
        <w:ind w:left="284"/>
        <w:contextualSpacing/>
        <w:mirrorIndents/>
        <w:jc w:val="center"/>
        <w:rPr>
          <w:b/>
          <w:bCs/>
          <w:color w:val="70AD47" w:themeColor="accent6"/>
          <w:sz w:val="28"/>
          <w:szCs w:val="28"/>
        </w:rPr>
      </w:pPr>
      <w:r w:rsidRPr="00043505">
        <w:rPr>
          <w:b/>
          <w:bCs/>
          <w:color w:val="70AD47" w:themeColor="accent6"/>
          <w:sz w:val="28"/>
          <w:szCs w:val="28"/>
        </w:rPr>
        <w:t xml:space="preserve">(Modifiche / Implementazioni / Aggiornamenti al </w:t>
      </w:r>
      <w:r w:rsidR="00AC70AC">
        <w:rPr>
          <w:b/>
          <w:bCs/>
          <w:color w:val="70AD47" w:themeColor="accent6"/>
          <w:sz w:val="28"/>
          <w:szCs w:val="28"/>
        </w:rPr>
        <w:t>09</w:t>
      </w:r>
      <w:r>
        <w:rPr>
          <w:b/>
          <w:bCs/>
          <w:color w:val="70AD47" w:themeColor="accent6"/>
          <w:sz w:val="28"/>
          <w:szCs w:val="28"/>
        </w:rPr>
        <w:t xml:space="preserve"> giugno </w:t>
      </w:r>
      <w:r w:rsidRPr="00043505">
        <w:rPr>
          <w:b/>
          <w:bCs/>
          <w:color w:val="70AD47" w:themeColor="accent6"/>
          <w:sz w:val="28"/>
          <w:szCs w:val="28"/>
        </w:rPr>
        <w:t>2023)</w:t>
      </w:r>
    </w:p>
    <w:p w14:paraId="46278D38" w14:textId="77777777" w:rsidR="00503706" w:rsidRPr="00746C3F" w:rsidRDefault="00503706" w:rsidP="00DE33F4">
      <w:pPr>
        <w:spacing w:before="120" w:after="240" w:line="240" w:lineRule="auto"/>
        <w:ind w:left="284"/>
        <w:contextualSpacing/>
        <w:mirrorIndents/>
        <w:jc w:val="both"/>
        <w:rPr>
          <w:b/>
          <w:bCs/>
          <w:color w:val="70AD47" w:themeColor="accent6"/>
          <w:sz w:val="24"/>
          <w:szCs w:val="24"/>
          <w:u w:val="single"/>
        </w:rPr>
      </w:pPr>
    </w:p>
    <w:p w14:paraId="76617947" w14:textId="3563734C" w:rsidR="00503706" w:rsidRPr="00DE33F4" w:rsidRDefault="00503706" w:rsidP="00DE33F4">
      <w:pPr>
        <w:pStyle w:val="Paragrafoelenco"/>
        <w:numPr>
          <w:ilvl w:val="0"/>
          <w:numId w:val="2"/>
        </w:numPr>
        <w:spacing w:before="120" w:after="240" w:line="240" w:lineRule="auto"/>
        <w:ind w:left="284"/>
        <w:mirrorIndents/>
        <w:jc w:val="both"/>
        <w:rPr>
          <w:b/>
          <w:bCs/>
          <w:color w:val="FF0000"/>
        </w:rPr>
      </w:pPr>
      <w:r w:rsidRPr="00DE33F4">
        <w:rPr>
          <w:b/>
          <w:bCs/>
          <w:color w:val="FF0000"/>
        </w:rPr>
        <w:t>Motivazioni ordinanza di sgombero/evacuazione</w:t>
      </w:r>
      <w:r w:rsidR="005C7656" w:rsidRPr="00DE33F4">
        <w:rPr>
          <w:b/>
          <w:bCs/>
          <w:color w:val="FF0000"/>
        </w:rPr>
        <w:t>.</w:t>
      </w:r>
    </w:p>
    <w:p w14:paraId="14769421" w14:textId="77777777" w:rsidR="00503706" w:rsidRPr="00DE33F4" w:rsidRDefault="00503706" w:rsidP="00DE33F4">
      <w:pPr>
        <w:spacing w:before="120" w:after="240" w:line="240" w:lineRule="auto"/>
        <w:ind w:left="284"/>
        <w:contextualSpacing/>
        <w:mirrorIndents/>
        <w:jc w:val="both"/>
      </w:pPr>
      <w:r w:rsidRPr="00DE33F4">
        <w:t xml:space="preserve">Le ragioni che hanno determinato l’evacuazione di un nucleo familiare dalla propria abitazione possono essere dipese da una </w:t>
      </w:r>
      <w:r w:rsidRPr="00DE33F4">
        <w:rPr>
          <w:b/>
          <w:bCs/>
        </w:rPr>
        <w:t>inagibilità diretta</w:t>
      </w:r>
      <w:r w:rsidRPr="00DE33F4">
        <w:t xml:space="preserve"> (danni strutturali che ne hanno compromesso la sicurezza strutturale e/o assenza  dei requisiti igienico sanitari per infiltrazioni, ristagno d’acqua, etc.) </w:t>
      </w:r>
      <w:r w:rsidRPr="00DE33F4">
        <w:rPr>
          <w:b/>
          <w:bCs/>
        </w:rPr>
        <w:t>o indiretta</w:t>
      </w:r>
      <w:r w:rsidRPr="00DE33F4">
        <w:t xml:space="preserve"> (frana in aderenza al fabbricato, frana incombente che minaccia il fabbricato, interruzione della viabilità, strada dissestata, etc., che rappresentano  quindi un rischio per  l’incolumità del nucleo familiare o comunque  cause che impediscono l’accesso all’abitazione).</w:t>
      </w:r>
    </w:p>
    <w:p w14:paraId="241D68DE" w14:textId="77777777" w:rsidR="00503706" w:rsidRDefault="00503706" w:rsidP="00DE33F4">
      <w:pPr>
        <w:spacing w:before="120" w:after="240" w:line="240" w:lineRule="auto"/>
        <w:ind w:left="284"/>
        <w:contextualSpacing/>
        <w:mirrorIndents/>
        <w:jc w:val="both"/>
      </w:pPr>
      <w:r w:rsidRPr="00DE33F4">
        <w:t>In entrambi i casi vi è diritto al CAS.</w:t>
      </w:r>
    </w:p>
    <w:p w14:paraId="183AF3A1" w14:textId="77777777" w:rsidR="003770D8" w:rsidRPr="00DE33F4" w:rsidRDefault="003770D8" w:rsidP="00DE33F4">
      <w:pPr>
        <w:spacing w:before="120" w:after="240" w:line="240" w:lineRule="auto"/>
        <w:ind w:left="284"/>
        <w:contextualSpacing/>
        <w:mirrorIndents/>
        <w:jc w:val="both"/>
      </w:pPr>
    </w:p>
    <w:p w14:paraId="174CCCF1" w14:textId="6A79120D" w:rsidR="00503706" w:rsidRPr="00C97804" w:rsidRDefault="00503706" w:rsidP="00C97804">
      <w:pPr>
        <w:pStyle w:val="Paragrafoelenco"/>
        <w:numPr>
          <w:ilvl w:val="0"/>
          <w:numId w:val="2"/>
        </w:numPr>
        <w:spacing w:before="120" w:after="240" w:line="240" w:lineRule="auto"/>
        <w:mirrorIndents/>
        <w:jc w:val="both"/>
        <w:rPr>
          <w:b/>
          <w:bCs/>
          <w:color w:val="FF0000"/>
        </w:rPr>
      </w:pPr>
      <w:r w:rsidRPr="00C97804">
        <w:rPr>
          <w:b/>
          <w:bCs/>
          <w:color w:val="FF0000"/>
        </w:rPr>
        <w:t>È possibile presentare la domanda di CAS in assenza di un’ordinanza di sgombero o di un ordine di</w:t>
      </w:r>
      <w:r w:rsidR="004E5347" w:rsidRPr="00C97804">
        <w:rPr>
          <w:b/>
          <w:bCs/>
          <w:color w:val="FF0000"/>
        </w:rPr>
        <w:t xml:space="preserve"> </w:t>
      </w:r>
      <w:r w:rsidRPr="00C97804">
        <w:rPr>
          <w:b/>
          <w:bCs/>
          <w:color w:val="FF0000"/>
        </w:rPr>
        <w:t>evacuazione?</w:t>
      </w:r>
    </w:p>
    <w:p w14:paraId="785EE72E" w14:textId="77777777" w:rsidR="00503706" w:rsidRPr="00DE33F4" w:rsidRDefault="00503706" w:rsidP="00DE33F4">
      <w:pPr>
        <w:spacing w:before="120" w:after="240" w:line="240" w:lineRule="auto"/>
        <w:ind w:left="284"/>
        <w:contextualSpacing/>
        <w:mirrorIndents/>
        <w:jc w:val="both"/>
      </w:pPr>
      <w:r w:rsidRPr="00DE33F4">
        <w:t>In</w:t>
      </w:r>
      <w:r w:rsidRPr="00DE33F4">
        <w:rPr>
          <w:b/>
          <w:bCs/>
        </w:rPr>
        <w:t xml:space="preserve"> assenza di un’ordinanza sindacale di sgombero</w:t>
      </w:r>
      <w:r w:rsidRPr="00DE33F4">
        <w:t>, la domanda di CAS può comunque essere presentata dal nucleo familiare avente la residenza anagrafica nell’abitazione dalla quale si è allontanato a seguito di un ordine di evacuazione emesso con atto scritto o con altre modalità e rivolto alla pluralità dei cittadini residenti nelle aree individuate, anche con rappresentazioni cartografiche, come aree colpite dall’evento calamitoso ed in cui è ubicata l’abitazione in questione.</w:t>
      </w:r>
    </w:p>
    <w:p w14:paraId="0EC13A95" w14:textId="77777777" w:rsidR="005B69E6" w:rsidRPr="00DE33F4" w:rsidRDefault="005B69E6" w:rsidP="00DE33F4">
      <w:pPr>
        <w:spacing w:before="120" w:after="240" w:line="240" w:lineRule="auto"/>
        <w:ind w:left="284"/>
        <w:contextualSpacing/>
        <w:mirrorIndents/>
        <w:jc w:val="both"/>
      </w:pPr>
      <w:r w:rsidRPr="00DE33F4">
        <w:rPr>
          <w:b/>
          <w:bCs/>
        </w:rPr>
        <w:t xml:space="preserve">In assenza di un’ordinanza sindacale di sgombero  o di un ordine di evacuazione come sopra indicato, </w:t>
      </w:r>
      <w:r w:rsidRPr="00DE33F4">
        <w:t xml:space="preserve"> il nucleo familiare può presentare la domanda di CAS se residente nell’abitazione dalla quale si è allontanato, trovando un’autonoma sistemazione,  in conseguenza di un rischio per la propria incolumità (esempio: minaccia di una frana incombente sull’abitazione; scarpata prospiciente l’abitazione che ne minaccia la sicurezza strutturale) e/o in conseguenza dell’interruzione dei servizi essenziali (corrente elettrica e/o gas e/o acqua e/o sistema fognario) che non consentono l’abitabilità oppure nella quale non si può rientrare per l’interruzione dell’unica via di accesso alla stessa.</w:t>
      </w:r>
    </w:p>
    <w:p w14:paraId="08B9E500" w14:textId="77777777" w:rsidR="00503706" w:rsidRPr="00DE33F4" w:rsidRDefault="00503706" w:rsidP="00DE33F4">
      <w:pPr>
        <w:pStyle w:val="Paragrafoelenco"/>
        <w:numPr>
          <w:ilvl w:val="0"/>
          <w:numId w:val="3"/>
        </w:numPr>
        <w:spacing w:before="120" w:after="240" w:line="240" w:lineRule="auto"/>
        <w:ind w:left="284"/>
        <w:mirrorIndents/>
        <w:jc w:val="both"/>
        <w:rPr>
          <w:b/>
          <w:bCs/>
          <w:color w:val="FF0000"/>
        </w:rPr>
      </w:pPr>
      <w:r w:rsidRPr="00DE33F4">
        <w:rPr>
          <w:b/>
          <w:bCs/>
          <w:color w:val="FF0000"/>
        </w:rPr>
        <w:t>Modalità presentazione domanda.</w:t>
      </w:r>
    </w:p>
    <w:p w14:paraId="5E92E380" w14:textId="77777777" w:rsidR="00503706" w:rsidRPr="00DE33F4" w:rsidRDefault="00503706" w:rsidP="00DE33F4">
      <w:pPr>
        <w:spacing w:before="120" w:after="240" w:line="240" w:lineRule="auto"/>
        <w:ind w:left="284"/>
        <w:contextualSpacing/>
        <w:mirrorIndents/>
        <w:jc w:val="both"/>
        <w:rPr>
          <w:rFonts w:eastAsia="Calibri"/>
        </w:rPr>
      </w:pPr>
      <w:r w:rsidRPr="00DE33F4">
        <w:rPr>
          <w:rFonts w:eastAsia="Calibri"/>
        </w:rPr>
        <w:t>La domanda deve essere presentata unicamente al Comune nel cui territorio è ubicata l’abitazione evacuata.</w:t>
      </w:r>
    </w:p>
    <w:p w14:paraId="442E8FAC" w14:textId="77777777" w:rsidR="00503706" w:rsidRPr="00DE33F4" w:rsidRDefault="00503706" w:rsidP="00DE33F4">
      <w:pPr>
        <w:spacing w:before="120" w:after="240" w:line="240" w:lineRule="auto"/>
        <w:ind w:left="284"/>
        <w:contextualSpacing/>
        <w:mirrorIndents/>
        <w:jc w:val="both"/>
        <w:rPr>
          <w:rFonts w:eastAsia="Calibri" w:cstheme="minorHAnsi"/>
        </w:rPr>
      </w:pPr>
      <w:r w:rsidRPr="00DE33F4">
        <w:rPr>
          <w:rFonts w:eastAsia="Calibri" w:cstheme="minorHAnsi"/>
        </w:rPr>
        <w:t xml:space="preserve">La domanda, oltre ad </w:t>
      </w:r>
      <w:r w:rsidRPr="00DE33F4">
        <w:rPr>
          <w:rFonts w:eastAsia="Calibri"/>
        </w:rPr>
        <w:t xml:space="preserve">essere consegnata a mano o spedita a mezzo posta con raccomandata </w:t>
      </w:r>
      <w:proofErr w:type="spellStart"/>
      <w:r w:rsidRPr="00DE33F4">
        <w:rPr>
          <w:rFonts w:eastAsia="Calibri"/>
        </w:rPr>
        <w:t>a.r.</w:t>
      </w:r>
      <w:proofErr w:type="spellEnd"/>
      <w:r w:rsidRPr="00DE33F4">
        <w:rPr>
          <w:rFonts w:eastAsia="Calibri"/>
        </w:rPr>
        <w:t xml:space="preserve">. , può essere </w:t>
      </w:r>
      <w:r w:rsidRPr="00DE33F4">
        <w:rPr>
          <w:rFonts w:eastAsia="Calibri" w:cstheme="minorHAnsi"/>
        </w:rPr>
        <w:t xml:space="preserve">inviata tramite PEC del cittadino all’indirizzo PEC dell’Amministrazione Comunale, o tramite PEC di un intermediario delegato dal richiedente il contributo; la delega,  </w:t>
      </w:r>
      <w:r w:rsidRPr="00DE33F4">
        <w:rPr>
          <w:rFonts w:eastAsia="Calibri" w:cstheme="minorHAnsi"/>
          <w:b/>
          <w:bCs/>
        </w:rPr>
        <w:t>dove sono indicate le generalità del richiedente il contributo e quelle del delegato</w:t>
      </w:r>
      <w:r w:rsidRPr="00DE33F4">
        <w:rPr>
          <w:rFonts w:eastAsia="Calibri" w:cstheme="minorHAnsi"/>
        </w:rPr>
        <w:t>, viene sottoscritta dal richiedente, scansionata ed inviata, unitamente alla domanda sottoscritta dal richiedente e al documento di riconoscimento, in corso di validità, scansionato,  sia del richiedente che del delegato.</w:t>
      </w:r>
    </w:p>
    <w:p w14:paraId="4F38EF59" w14:textId="77777777" w:rsidR="00503706" w:rsidRPr="00DE33F4" w:rsidRDefault="00503706" w:rsidP="00DE33F4">
      <w:pPr>
        <w:pStyle w:val="Paragrafoelenco"/>
        <w:numPr>
          <w:ilvl w:val="0"/>
          <w:numId w:val="3"/>
        </w:numPr>
        <w:spacing w:before="120" w:after="240" w:line="240" w:lineRule="auto"/>
        <w:ind w:left="284"/>
        <w:mirrorIndents/>
        <w:jc w:val="both"/>
        <w:rPr>
          <w:b/>
          <w:bCs/>
          <w:color w:val="FF0000"/>
        </w:rPr>
      </w:pPr>
      <w:r w:rsidRPr="00DE33F4">
        <w:rPr>
          <w:b/>
          <w:bCs/>
          <w:color w:val="FF0000"/>
        </w:rPr>
        <w:t>Termine iniziale riconoscimento CAS.</w:t>
      </w:r>
    </w:p>
    <w:p w14:paraId="5642FC80" w14:textId="77777777" w:rsidR="00503706" w:rsidRPr="00DE33F4" w:rsidRDefault="00503706" w:rsidP="00DE33F4">
      <w:pPr>
        <w:spacing w:before="120" w:after="240" w:line="240" w:lineRule="auto"/>
        <w:ind w:left="284"/>
        <w:contextualSpacing/>
        <w:mirrorIndents/>
        <w:jc w:val="both"/>
        <w:rPr>
          <w:rFonts w:eastAsia="Calibri" w:cstheme="minorHAnsi"/>
        </w:rPr>
      </w:pPr>
      <w:r w:rsidRPr="00DE33F4">
        <w:rPr>
          <w:rFonts w:eastAsia="Calibri" w:cstheme="minorHAnsi"/>
        </w:rPr>
        <w:t>Dalla data di notifica/pubblicazione dell’ordinanza di sgombero o dell’ordine di evacuazione se è seguita l’effettiva evacuazione.</w:t>
      </w:r>
    </w:p>
    <w:p w14:paraId="62DDAC2A" w14:textId="77777777" w:rsidR="00503706" w:rsidRPr="00DE33F4" w:rsidRDefault="00503706" w:rsidP="00DE33F4">
      <w:pPr>
        <w:spacing w:before="120" w:after="240" w:line="240" w:lineRule="auto"/>
        <w:ind w:left="284"/>
        <w:contextualSpacing/>
        <w:mirrorIndents/>
        <w:jc w:val="both"/>
        <w:rPr>
          <w:rFonts w:eastAsia="Calibri" w:cstheme="minorHAnsi"/>
        </w:rPr>
      </w:pPr>
      <w:r w:rsidRPr="00DE33F4">
        <w:rPr>
          <w:rFonts w:eastAsia="Calibri" w:cstheme="minorHAnsi"/>
        </w:rPr>
        <w:t>Dalla data di evacuazione riportata nella domanda di contributo e attestata dal Comune.</w:t>
      </w:r>
    </w:p>
    <w:p w14:paraId="67B2C969" w14:textId="77777777" w:rsidR="00503706" w:rsidRPr="00DE33F4" w:rsidRDefault="00503706" w:rsidP="00DE33F4">
      <w:pPr>
        <w:pStyle w:val="Paragrafoelenco"/>
        <w:numPr>
          <w:ilvl w:val="0"/>
          <w:numId w:val="3"/>
        </w:numPr>
        <w:spacing w:before="120" w:after="240" w:line="240" w:lineRule="auto"/>
        <w:ind w:left="284"/>
        <w:mirrorIndents/>
        <w:jc w:val="both"/>
        <w:rPr>
          <w:b/>
          <w:bCs/>
          <w:color w:val="FF0000"/>
        </w:rPr>
      </w:pPr>
      <w:r w:rsidRPr="00DE33F4">
        <w:rPr>
          <w:b/>
          <w:bCs/>
          <w:color w:val="FF0000"/>
        </w:rPr>
        <w:t>Termine finale riconoscimento CAS.</w:t>
      </w:r>
    </w:p>
    <w:p w14:paraId="50E5B9DA" w14:textId="0651A6C9" w:rsidR="00503706" w:rsidRPr="00DE33F4" w:rsidRDefault="00503706" w:rsidP="00DE33F4">
      <w:pPr>
        <w:spacing w:before="120" w:after="240" w:line="240" w:lineRule="auto"/>
        <w:ind w:left="284"/>
        <w:contextualSpacing/>
        <w:mirrorIndents/>
        <w:jc w:val="both"/>
      </w:pPr>
      <w:r w:rsidRPr="00DE33F4">
        <w:t xml:space="preserve">Fino </w:t>
      </w:r>
      <w:r w:rsidRPr="00DE33F4">
        <w:rPr>
          <w:rFonts w:cs="Calibri"/>
        </w:rPr>
        <w:t>alla revoca dell’ordinanza di sgombero</w:t>
      </w:r>
      <w:r w:rsidRPr="00DE33F4">
        <w:t xml:space="preserve"> o, se precedente, fino </w:t>
      </w:r>
      <w:r w:rsidRPr="00DE33F4">
        <w:rPr>
          <w:rFonts w:eastAsia="Calibri"/>
        </w:rPr>
        <w:t>alla data di fine dei lavori di ripristino delle condizioni di agibilità</w:t>
      </w:r>
      <w:r w:rsidRPr="00DE33F4">
        <w:t xml:space="preserve"> o, se precedente, fino al giorno antecedente la data di rientro indicato nella domanda.</w:t>
      </w:r>
    </w:p>
    <w:p w14:paraId="1817D1F0" w14:textId="77777777" w:rsidR="00503706" w:rsidRPr="00DE33F4" w:rsidRDefault="00503706" w:rsidP="00DE33F4">
      <w:pPr>
        <w:spacing w:before="120" w:after="240" w:line="240" w:lineRule="auto"/>
        <w:ind w:left="284"/>
        <w:contextualSpacing/>
        <w:mirrorIndents/>
        <w:jc w:val="both"/>
      </w:pPr>
      <w:r w:rsidRPr="00DE33F4">
        <w:lastRenderedPageBreak/>
        <w:t xml:space="preserve">Se nella </w:t>
      </w:r>
      <w:r w:rsidRPr="00DE33F4">
        <w:rPr>
          <w:rFonts w:cs="Calibri"/>
        </w:rPr>
        <w:t>domanda</w:t>
      </w:r>
      <w:r w:rsidRPr="00DE33F4">
        <w:t xml:space="preserve"> non è indicata la data del rientro, il CAS spetta fino al giorno antecedente la data di rientro che il richiedente è tenuto a comunicare al Comune (nei 5 gg dal suo verificarsi)., con obbligo di restituire, in caso di omessa comunicazione, quanto indebitamente percepito per il periodo non spettante.</w:t>
      </w:r>
    </w:p>
    <w:p w14:paraId="64DDB3AF" w14:textId="6DFEE8BC" w:rsidR="00503706" w:rsidRPr="00DE33F4" w:rsidRDefault="00503706" w:rsidP="00DE33F4">
      <w:pPr>
        <w:spacing w:before="120" w:after="240" w:line="240" w:lineRule="auto"/>
        <w:ind w:left="284"/>
        <w:contextualSpacing/>
        <w:mirrorIndents/>
        <w:jc w:val="both"/>
      </w:pPr>
      <w:r w:rsidRPr="00DE33F4">
        <w:t xml:space="preserve">Il </w:t>
      </w:r>
      <w:r w:rsidRPr="00DE33F4">
        <w:rPr>
          <w:rFonts w:cs="Calibri"/>
        </w:rPr>
        <w:t>Comune</w:t>
      </w:r>
      <w:r w:rsidRPr="00DE33F4">
        <w:t xml:space="preserve"> deve verificare che l’abitazione sia effettivamente ubicata in un’area allagata o in un’area franata o a rischio di frana o in un’area la cui unica via di accesso risulta interrotta, anche sulla base di rappresentazioni cartografiche e comunque di </w:t>
      </w:r>
      <w:r w:rsidRPr="00DE33F4">
        <w:rPr>
          <w:b/>
          <w:bCs/>
        </w:rPr>
        <w:t>tutti i dati conoscitivi in proprio possesso</w:t>
      </w:r>
      <w:r w:rsidRPr="00DE33F4">
        <w:t>.</w:t>
      </w:r>
    </w:p>
    <w:p w14:paraId="34609749" w14:textId="0C4EE833" w:rsidR="00FF08CD" w:rsidRPr="00DE33F4" w:rsidRDefault="00503706" w:rsidP="00DE33F4">
      <w:pPr>
        <w:spacing w:before="120" w:after="240" w:line="240" w:lineRule="auto"/>
        <w:ind w:left="284"/>
        <w:contextualSpacing/>
        <w:mirrorIndents/>
        <w:jc w:val="both"/>
      </w:pPr>
      <w:r w:rsidRPr="00DE33F4">
        <w:rPr>
          <w:rFonts w:cs="Calibri"/>
        </w:rPr>
        <w:t>L’accertamento</w:t>
      </w:r>
      <w:r w:rsidRPr="00DE33F4">
        <w:t xml:space="preserve"> dell’assenza dei presupposti sopra descritti comporta la restituzione, in quanto indebito, del contributo eventualmente già percepito.</w:t>
      </w:r>
    </w:p>
    <w:p w14:paraId="1CE4DDAE" w14:textId="77777777" w:rsidR="00642054" w:rsidRPr="00DE33F4" w:rsidRDefault="00642054" w:rsidP="00DE33F4">
      <w:pPr>
        <w:spacing w:before="120" w:after="240" w:line="240" w:lineRule="auto"/>
        <w:ind w:left="284"/>
        <w:contextualSpacing/>
        <w:mirrorIndents/>
        <w:jc w:val="both"/>
      </w:pPr>
    </w:p>
    <w:p w14:paraId="3373260C" w14:textId="1BD133E8" w:rsidR="00840078" w:rsidRPr="00DE33F4" w:rsidRDefault="00642054" w:rsidP="00DE33F4">
      <w:pPr>
        <w:spacing w:before="120" w:after="240" w:line="240" w:lineRule="auto"/>
        <w:ind w:left="284"/>
        <w:contextualSpacing/>
        <w:mirrorIndents/>
        <w:jc w:val="both"/>
        <w:rPr>
          <w:b/>
          <w:bCs/>
          <w:color w:val="FF0000"/>
        </w:rPr>
      </w:pPr>
      <w:r w:rsidRPr="00DE33F4">
        <w:rPr>
          <w:rFonts w:eastAsia="Times New Roman"/>
          <w:b/>
          <w:bCs/>
          <w:color w:val="FF0000"/>
        </w:rPr>
        <w:t xml:space="preserve">6. L'affittuario perde il diritto al contributo CAS qualora il locatore proceda ad una disdetta del contratto di affitto </w:t>
      </w:r>
      <w:r w:rsidR="00840078" w:rsidRPr="00DE33F4">
        <w:rPr>
          <w:rFonts w:eastAsia="Times New Roman"/>
          <w:b/>
          <w:bCs/>
          <w:color w:val="FF0000"/>
        </w:rPr>
        <w:t>(</w:t>
      </w:r>
      <w:r w:rsidRPr="00DE33F4">
        <w:rPr>
          <w:rFonts w:eastAsia="Times New Roman"/>
          <w:b/>
          <w:bCs/>
          <w:color w:val="FF0000"/>
        </w:rPr>
        <w:t>per impossibilità a procedere al ripristino dell'abitazione</w:t>
      </w:r>
      <w:r w:rsidR="00840078" w:rsidRPr="00DE33F4">
        <w:rPr>
          <w:rFonts w:eastAsia="Times New Roman"/>
          <w:b/>
          <w:bCs/>
          <w:color w:val="FF0000"/>
        </w:rPr>
        <w:t>)</w:t>
      </w:r>
      <w:r w:rsidR="00675F6F" w:rsidRPr="00DE33F4">
        <w:rPr>
          <w:rFonts w:eastAsia="Times New Roman"/>
          <w:b/>
          <w:bCs/>
          <w:color w:val="FF0000"/>
        </w:rPr>
        <w:t>, v</w:t>
      </w:r>
      <w:r w:rsidRPr="00DE33F4">
        <w:rPr>
          <w:b/>
          <w:bCs/>
          <w:color w:val="FF0000"/>
        </w:rPr>
        <w:t xml:space="preserve">enendo </w:t>
      </w:r>
      <w:r w:rsidR="00840078" w:rsidRPr="00DE33F4">
        <w:rPr>
          <w:b/>
          <w:bCs/>
          <w:color w:val="FF0000"/>
        </w:rPr>
        <w:t xml:space="preserve">quindi </w:t>
      </w:r>
      <w:r w:rsidRPr="00DE33F4">
        <w:rPr>
          <w:b/>
          <w:bCs/>
          <w:color w:val="FF0000"/>
        </w:rPr>
        <w:t>meno il presupposto del rientro nell’abitazione</w:t>
      </w:r>
      <w:r w:rsidR="00675F6F" w:rsidRPr="00DE33F4">
        <w:rPr>
          <w:b/>
          <w:bCs/>
          <w:color w:val="FF0000"/>
        </w:rPr>
        <w:t>?</w:t>
      </w:r>
    </w:p>
    <w:p w14:paraId="1C0BA753" w14:textId="2658B060" w:rsidR="00642054" w:rsidRPr="00DE33F4" w:rsidRDefault="00675F6F" w:rsidP="00DE33F4">
      <w:pPr>
        <w:spacing w:before="120" w:after="240" w:line="240" w:lineRule="auto"/>
        <w:ind w:left="284"/>
        <w:contextualSpacing/>
        <w:mirrorIndents/>
        <w:jc w:val="both"/>
        <w:rPr>
          <w:b/>
          <w:bCs/>
          <w:color w:val="FF0000"/>
        </w:rPr>
      </w:pPr>
      <w:r w:rsidRPr="00DE33F4">
        <w:rPr>
          <w:b/>
          <w:bCs/>
          <w:color w:val="FF0000"/>
        </w:rPr>
        <w:t xml:space="preserve"> </w:t>
      </w:r>
    </w:p>
    <w:p w14:paraId="6995E961" w14:textId="7AD5C49D" w:rsidR="00642054" w:rsidRPr="00DE33F4" w:rsidRDefault="001E5E91" w:rsidP="00DE33F4">
      <w:pPr>
        <w:spacing w:before="120" w:after="240" w:line="240" w:lineRule="auto"/>
        <w:ind w:left="284"/>
        <w:contextualSpacing/>
        <w:mirrorIndents/>
        <w:jc w:val="both"/>
      </w:pPr>
      <w:r w:rsidRPr="00DE33F4">
        <w:t xml:space="preserve">Il contributo CAS è riconosciuto </w:t>
      </w:r>
      <w:r w:rsidR="00642054" w:rsidRPr="00DE33F4">
        <w:t>fintanto che la sistemazione abitativa alternativa dell’affittuario sia temporanea e cessa se acquisisce carattere di stabilità (art. 10, c. 1, lett. D, direttiva), comunicata dal cittadino entro 5 gg come variazione a quanto dichiarato in domanda</w:t>
      </w:r>
      <w:r w:rsidR="00E3515D" w:rsidRPr="00DE33F4">
        <w:t>.</w:t>
      </w:r>
    </w:p>
    <w:p w14:paraId="4333C7D8" w14:textId="77777777" w:rsidR="00642054" w:rsidRPr="00DE33F4" w:rsidRDefault="00642054" w:rsidP="00DE33F4">
      <w:pPr>
        <w:spacing w:before="120" w:after="240" w:line="240" w:lineRule="auto"/>
        <w:ind w:left="284"/>
        <w:contextualSpacing/>
        <w:mirrorIndents/>
        <w:jc w:val="both"/>
      </w:pPr>
    </w:p>
    <w:p w14:paraId="6F9DD793" w14:textId="77777777" w:rsidR="00FF56F2" w:rsidRPr="00DE33F4" w:rsidRDefault="00FF56F2" w:rsidP="00DE33F4">
      <w:pPr>
        <w:spacing w:before="120" w:after="240" w:line="240" w:lineRule="auto"/>
        <w:ind w:left="284"/>
        <w:contextualSpacing/>
        <w:mirrorIndents/>
        <w:jc w:val="both"/>
      </w:pPr>
    </w:p>
    <w:p w14:paraId="3DFDA124" w14:textId="77777777" w:rsidR="00FF56F2" w:rsidRPr="00DE33F4" w:rsidRDefault="00FF56F2" w:rsidP="00DE33F4">
      <w:pPr>
        <w:spacing w:before="120" w:after="240" w:line="240" w:lineRule="auto"/>
        <w:ind w:left="284"/>
        <w:contextualSpacing/>
        <w:mirrorIndents/>
        <w:jc w:val="both"/>
      </w:pPr>
    </w:p>
    <w:p w14:paraId="31865239" w14:textId="77777777" w:rsidR="00FF56F2" w:rsidRPr="00DE33F4" w:rsidRDefault="00FF56F2" w:rsidP="00DE33F4">
      <w:pPr>
        <w:spacing w:before="120" w:after="240" w:line="240" w:lineRule="auto"/>
        <w:ind w:left="284"/>
        <w:contextualSpacing/>
        <w:mirrorIndents/>
        <w:jc w:val="both"/>
      </w:pPr>
    </w:p>
    <w:p w14:paraId="5AA29850" w14:textId="77777777" w:rsidR="00FF56F2" w:rsidRPr="00DE33F4" w:rsidRDefault="00FF56F2" w:rsidP="00DE33F4">
      <w:pPr>
        <w:spacing w:before="120" w:after="240" w:line="240" w:lineRule="auto"/>
        <w:ind w:left="284"/>
        <w:contextualSpacing/>
        <w:mirrorIndents/>
        <w:jc w:val="both"/>
      </w:pPr>
    </w:p>
    <w:p w14:paraId="41BD445A" w14:textId="77777777" w:rsidR="00FF56F2" w:rsidRPr="00DE33F4" w:rsidRDefault="00FF56F2" w:rsidP="00DE33F4">
      <w:pPr>
        <w:spacing w:before="120" w:after="240" w:line="240" w:lineRule="auto"/>
        <w:ind w:left="284"/>
        <w:contextualSpacing/>
        <w:mirrorIndents/>
        <w:jc w:val="both"/>
      </w:pPr>
    </w:p>
    <w:p w14:paraId="73758238" w14:textId="77777777" w:rsidR="00FF56F2" w:rsidRPr="00DE33F4" w:rsidRDefault="00FF56F2" w:rsidP="00DE33F4">
      <w:pPr>
        <w:spacing w:before="120" w:after="240" w:line="240" w:lineRule="auto"/>
        <w:ind w:left="284"/>
        <w:contextualSpacing/>
        <w:mirrorIndents/>
        <w:jc w:val="both"/>
      </w:pPr>
    </w:p>
    <w:p w14:paraId="05388FD2" w14:textId="77777777" w:rsidR="00FF56F2" w:rsidRPr="00DE33F4" w:rsidRDefault="00FF56F2" w:rsidP="00DE33F4">
      <w:pPr>
        <w:spacing w:before="120" w:after="240" w:line="240" w:lineRule="auto"/>
        <w:ind w:left="284"/>
        <w:contextualSpacing/>
        <w:mirrorIndents/>
        <w:jc w:val="both"/>
      </w:pPr>
    </w:p>
    <w:p w14:paraId="130C2877" w14:textId="77777777" w:rsidR="00FF56F2" w:rsidRPr="00DE33F4" w:rsidRDefault="00FF56F2" w:rsidP="00DE33F4">
      <w:pPr>
        <w:spacing w:before="120" w:after="240" w:line="240" w:lineRule="auto"/>
        <w:ind w:left="284"/>
        <w:contextualSpacing/>
        <w:mirrorIndents/>
        <w:jc w:val="both"/>
      </w:pPr>
    </w:p>
    <w:p w14:paraId="46F259DA" w14:textId="77777777" w:rsidR="00FF56F2" w:rsidRPr="00DE33F4" w:rsidRDefault="00FF56F2" w:rsidP="00DE33F4">
      <w:pPr>
        <w:spacing w:before="120" w:after="240" w:line="240" w:lineRule="auto"/>
        <w:ind w:left="284"/>
        <w:contextualSpacing/>
        <w:mirrorIndents/>
        <w:jc w:val="both"/>
      </w:pPr>
    </w:p>
    <w:p w14:paraId="43FED52F" w14:textId="77777777" w:rsidR="00FF56F2" w:rsidRPr="00DE33F4" w:rsidRDefault="00FF56F2" w:rsidP="00DE33F4">
      <w:pPr>
        <w:spacing w:before="120" w:after="240" w:line="240" w:lineRule="auto"/>
        <w:ind w:left="284"/>
        <w:contextualSpacing/>
        <w:mirrorIndents/>
        <w:jc w:val="both"/>
      </w:pPr>
    </w:p>
    <w:p w14:paraId="53F751F1" w14:textId="77777777" w:rsidR="00FF56F2" w:rsidRPr="00DE33F4" w:rsidRDefault="00FF56F2" w:rsidP="00DE33F4">
      <w:pPr>
        <w:spacing w:before="120" w:after="240" w:line="240" w:lineRule="auto"/>
        <w:ind w:left="284"/>
        <w:contextualSpacing/>
        <w:mirrorIndents/>
        <w:jc w:val="both"/>
      </w:pPr>
    </w:p>
    <w:p w14:paraId="344319B9" w14:textId="77777777" w:rsidR="00FF56F2" w:rsidRPr="00DE33F4" w:rsidRDefault="00FF56F2" w:rsidP="00DE33F4">
      <w:pPr>
        <w:spacing w:before="120" w:after="240" w:line="240" w:lineRule="auto"/>
        <w:ind w:left="284"/>
        <w:contextualSpacing/>
        <w:mirrorIndents/>
        <w:jc w:val="both"/>
      </w:pPr>
    </w:p>
    <w:p w14:paraId="38685E88" w14:textId="77777777" w:rsidR="00FF56F2" w:rsidRPr="00DE33F4" w:rsidRDefault="00FF56F2" w:rsidP="00DE33F4">
      <w:pPr>
        <w:spacing w:before="120" w:after="240" w:line="240" w:lineRule="auto"/>
        <w:ind w:left="284"/>
        <w:contextualSpacing/>
        <w:mirrorIndents/>
        <w:jc w:val="both"/>
      </w:pPr>
    </w:p>
    <w:p w14:paraId="5CDE0F98" w14:textId="77777777" w:rsidR="00FF56F2" w:rsidRPr="00DE33F4" w:rsidRDefault="00FF56F2" w:rsidP="00DE33F4">
      <w:pPr>
        <w:spacing w:before="120" w:after="240" w:line="240" w:lineRule="auto"/>
        <w:ind w:left="284"/>
        <w:contextualSpacing/>
        <w:mirrorIndents/>
        <w:jc w:val="both"/>
      </w:pPr>
    </w:p>
    <w:p w14:paraId="34068E47" w14:textId="77777777" w:rsidR="00FF56F2" w:rsidRPr="00DE33F4" w:rsidRDefault="00FF56F2" w:rsidP="00DE33F4">
      <w:pPr>
        <w:spacing w:before="120" w:after="240" w:line="240" w:lineRule="auto"/>
        <w:ind w:left="284"/>
        <w:contextualSpacing/>
        <w:mirrorIndents/>
        <w:jc w:val="both"/>
      </w:pPr>
    </w:p>
    <w:p w14:paraId="110341DB" w14:textId="77777777" w:rsidR="00FF56F2" w:rsidRPr="00DE33F4" w:rsidRDefault="00FF56F2" w:rsidP="00DE33F4">
      <w:pPr>
        <w:spacing w:before="120" w:after="240" w:line="240" w:lineRule="auto"/>
        <w:ind w:left="284"/>
        <w:contextualSpacing/>
        <w:mirrorIndents/>
        <w:jc w:val="both"/>
      </w:pPr>
    </w:p>
    <w:p w14:paraId="7D6D8A1C" w14:textId="77777777" w:rsidR="00FF56F2" w:rsidRPr="00DE33F4" w:rsidRDefault="00FF56F2" w:rsidP="00DE33F4">
      <w:pPr>
        <w:spacing w:before="120" w:after="240" w:line="240" w:lineRule="auto"/>
        <w:ind w:left="284"/>
        <w:contextualSpacing/>
        <w:mirrorIndents/>
        <w:jc w:val="both"/>
      </w:pPr>
    </w:p>
    <w:p w14:paraId="4F4D65BD" w14:textId="77777777" w:rsidR="00FF56F2" w:rsidRDefault="00FF56F2" w:rsidP="00DE33F4">
      <w:pPr>
        <w:spacing w:before="120" w:after="240" w:line="240" w:lineRule="auto"/>
        <w:ind w:left="284"/>
        <w:contextualSpacing/>
        <w:mirrorIndents/>
        <w:jc w:val="both"/>
      </w:pPr>
    </w:p>
    <w:p w14:paraId="5AC0E8D7" w14:textId="77777777" w:rsidR="00FF56F2" w:rsidRDefault="00FF56F2" w:rsidP="00DE33F4">
      <w:pPr>
        <w:spacing w:before="120" w:after="240" w:line="240" w:lineRule="auto"/>
        <w:ind w:left="284"/>
        <w:contextualSpacing/>
        <w:mirrorIndents/>
        <w:jc w:val="both"/>
      </w:pPr>
    </w:p>
    <w:p w14:paraId="7097E1CA" w14:textId="77777777" w:rsidR="00FF56F2" w:rsidRDefault="00FF56F2" w:rsidP="00DE33F4">
      <w:pPr>
        <w:spacing w:before="120" w:after="240" w:line="240" w:lineRule="auto"/>
        <w:ind w:left="284"/>
        <w:contextualSpacing/>
        <w:mirrorIndents/>
        <w:jc w:val="both"/>
      </w:pPr>
    </w:p>
    <w:p w14:paraId="4BA45B30" w14:textId="77777777" w:rsidR="00FF56F2" w:rsidRDefault="00FF56F2" w:rsidP="00DE33F4">
      <w:pPr>
        <w:spacing w:before="120" w:after="240" w:line="240" w:lineRule="auto"/>
        <w:ind w:left="284"/>
        <w:contextualSpacing/>
        <w:mirrorIndents/>
        <w:jc w:val="both"/>
      </w:pPr>
    </w:p>
    <w:p w14:paraId="0E862193" w14:textId="77777777" w:rsidR="00FF56F2" w:rsidRDefault="00FF56F2" w:rsidP="00DE33F4">
      <w:pPr>
        <w:spacing w:before="120" w:after="240" w:line="240" w:lineRule="auto"/>
        <w:ind w:left="284"/>
        <w:contextualSpacing/>
        <w:mirrorIndents/>
        <w:jc w:val="both"/>
      </w:pPr>
    </w:p>
    <w:p w14:paraId="2E0BE245" w14:textId="77777777" w:rsidR="00FF56F2" w:rsidRDefault="00FF56F2" w:rsidP="00DE33F4">
      <w:pPr>
        <w:spacing w:before="120" w:after="240" w:line="240" w:lineRule="auto"/>
        <w:ind w:left="284"/>
        <w:contextualSpacing/>
        <w:mirrorIndents/>
        <w:jc w:val="both"/>
      </w:pPr>
    </w:p>
    <w:p w14:paraId="6CC85086" w14:textId="77777777" w:rsidR="00FF56F2" w:rsidRDefault="00FF56F2" w:rsidP="00DE33F4">
      <w:pPr>
        <w:spacing w:before="120" w:after="240" w:line="240" w:lineRule="auto"/>
        <w:ind w:left="284"/>
        <w:contextualSpacing/>
        <w:mirrorIndents/>
        <w:jc w:val="both"/>
      </w:pPr>
    </w:p>
    <w:p w14:paraId="580C6BAE" w14:textId="77777777" w:rsidR="00FF56F2" w:rsidRDefault="00FF56F2" w:rsidP="00DE33F4">
      <w:pPr>
        <w:spacing w:before="120" w:after="240" w:line="240" w:lineRule="auto"/>
        <w:ind w:left="284"/>
        <w:contextualSpacing/>
        <w:mirrorIndents/>
        <w:jc w:val="both"/>
      </w:pPr>
    </w:p>
    <w:p w14:paraId="62986F73" w14:textId="77777777" w:rsidR="00FF56F2" w:rsidRDefault="00FF56F2" w:rsidP="00DE33F4">
      <w:pPr>
        <w:spacing w:before="120" w:after="240" w:line="240" w:lineRule="auto"/>
        <w:ind w:left="284"/>
        <w:contextualSpacing/>
        <w:mirrorIndents/>
        <w:jc w:val="both"/>
      </w:pPr>
    </w:p>
    <w:p w14:paraId="36194A4A" w14:textId="77777777" w:rsidR="00FF56F2" w:rsidRDefault="00FF56F2" w:rsidP="00DE33F4">
      <w:pPr>
        <w:spacing w:before="120" w:after="240" w:line="240" w:lineRule="auto"/>
        <w:ind w:left="284"/>
        <w:contextualSpacing/>
        <w:mirrorIndents/>
        <w:jc w:val="both"/>
      </w:pPr>
    </w:p>
    <w:p w14:paraId="5917F5FC" w14:textId="77777777" w:rsidR="00FF56F2" w:rsidRDefault="00FF56F2" w:rsidP="00DE33F4">
      <w:pPr>
        <w:spacing w:before="120" w:after="240" w:line="240" w:lineRule="auto"/>
        <w:ind w:left="284"/>
        <w:contextualSpacing/>
        <w:mirrorIndents/>
        <w:jc w:val="both"/>
      </w:pPr>
    </w:p>
    <w:p w14:paraId="714BC44E" w14:textId="77777777" w:rsidR="00FF56F2" w:rsidRDefault="00FF56F2" w:rsidP="00DE33F4">
      <w:pPr>
        <w:spacing w:before="120" w:after="240" w:line="240" w:lineRule="auto"/>
        <w:ind w:left="284"/>
        <w:contextualSpacing/>
        <w:mirrorIndents/>
        <w:jc w:val="both"/>
      </w:pPr>
    </w:p>
    <w:p w14:paraId="3CD1FACF" w14:textId="77777777" w:rsidR="00FF56F2" w:rsidRDefault="00FF56F2" w:rsidP="00DE33F4">
      <w:pPr>
        <w:spacing w:before="120" w:after="240" w:line="240" w:lineRule="auto"/>
        <w:ind w:left="284"/>
        <w:contextualSpacing/>
        <w:mirrorIndents/>
        <w:jc w:val="both"/>
      </w:pPr>
    </w:p>
    <w:p w14:paraId="49C9D255" w14:textId="77777777" w:rsidR="00FF56F2" w:rsidRDefault="00FF56F2" w:rsidP="00DE33F4">
      <w:pPr>
        <w:spacing w:before="120" w:after="240" w:line="240" w:lineRule="auto"/>
        <w:ind w:left="284"/>
        <w:contextualSpacing/>
        <w:mirrorIndents/>
        <w:jc w:val="both"/>
      </w:pPr>
    </w:p>
    <w:p w14:paraId="5ED5B1E4" w14:textId="77777777" w:rsidR="00FF56F2" w:rsidRDefault="00FF56F2" w:rsidP="00DE33F4">
      <w:pPr>
        <w:spacing w:before="120" w:after="240" w:line="240" w:lineRule="auto"/>
        <w:ind w:left="284"/>
        <w:contextualSpacing/>
        <w:mirrorIndents/>
        <w:jc w:val="both"/>
      </w:pPr>
    </w:p>
    <w:p w14:paraId="41447C64" w14:textId="77777777" w:rsidR="00FF56F2" w:rsidRDefault="00FF56F2" w:rsidP="00DE33F4">
      <w:pPr>
        <w:spacing w:before="120" w:after="240" w:line="240" w:lineRule="auto"/>
        <w:ind w:left="284"/>
        <w:contextualSpacing/>
        <w:mirrorIndents/>
        <w:jc w:val="both"/>
      </w:pPr>
    </w:p>
    <w:p w14:paraId="6AA6C1E0" w14:textId="77777777" w:rsidR="00FF56F2" w:rsidRDefault="00FF56F2" w:rsidP="00DE33F4">
      <w:pPr>
        <w:spacing w:before="120" w:after="240" w:line="240" w:lineRule="auto"/>
        <w:ind w:left="284"/>
        <w:contextualSpacing/>
        <w:mirrorIndents/>
        <w:jc w:val="both"/>
      </w:pPr>
    </w:p>
    <w:p w14:paraId="3880692B" w14:textId="77777777" w:rsidR="00FF56F2" w:rsidRDefault="00FF56F2" w:rsidP="00DE33F4">
      <w:pPr>
        <w:spacing w:before="120" w:after="240" w:line="240" w:lineRule="auto"/>
        <w:ind w:left="284"/>
        <w:contextualSpacing/>
        <w:mirrorIndents/>
        <w:jc w:val="both"/>
      </w:pPr>
    </w:p>
    <w:p w14:paraId="4F5AF362" w14:textId="77777777" w:rsidR="00FF56F2" w:rsidRDefault="00FF56F2" w:rsidP="00DE33F4">
      <w:pPr>
        <w:spacing w:before="120" w:after="240" w:line="240" w:lineRule="auto"/>
        <w:ind w:left="284"/>
        <w:contextualSpacing/>
        <w:mirrorIndents/>
        <w:jc w:val="both"/>
      </w:pPr>
    </w:p>
    <w:p w14:paraId="4D49B972" w14:textId="77777777" w:rsidR="00FF56F2" w:rsidRDefault="00FF56F2" w:rsidP="00DE33F4">
      <w:pPr>
        <w:spacing w:before="120" w:after="240" w:line="240" w:lineRule="auto"/>
        <w:ind w:left="284"/>
        <w:contextualSpacing/>
        <w:mirrorIndents/>
        <w:jc w:val="both"/>
      </w:pPr>
    </w:p>
    <w:sectPr w:rsidR="00FF56F2" w:rsidSect="005A60C3">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23"/>
    <w:multiLevelType w:val="hybridMultilevel"/>
    <w:tmpl w:val="9F24AA14"/>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0C73AC"/>
    <w:multiLevelType w:val="hybridMultilevel"/>
    <w:tmpl w:val="F342F24A"/>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824A8F"/>
    <w:multiLevelType w:val="hybridMultilevel"/>
    <w:tmpl w:val="3C8884E8"/>
    <w:lvl w:ilvl="0" w:tplc="0410000F">
      <w:start w:val="1"/>
      <w:numFmt w:val="decimal"/>
      <w:lvlText w:val="%1."/>
      <w:lvlJc w:val="left"/>
      <w:pPr>
        <w:ind w:left="829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FB5D2D"/>
    <w:multiLevelType w:val="hybridMultilevel"/>
    <w:tmpl w:val="E8A45956"/>
    <w:lvl w:ilvl="0" w:tplc="04100017">
      <w:start w:val="1"/>
      <w:numFmt w:val="lowerLetter"/>
      <w:lvlText w:val="%1)"/>
      <w:lvlJc w:val="left"/>
      <w:pPr>
        <w:ind w:left="720" w:hanging="360"/>
      </w:pPr>
      <w:rPr>
        <w:rFonts w:eastAsia="Times New Roman"/>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C8613A2"/>
    <w:multiLevelType w:val="hybridMultilevel"/>
    <w:tmpl w:val="9AFC4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AA08AE"/>
    <w:multiLevelType w:val="hybridMultilevel"/>
    <w:tmpl w:val="0D329E38"/>
    <w:lvl w:ilvl="0" w:tplc="4CBAF636">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A4641F9"/>
    <w:multiLevelType w:val="hybridMultilevel"/>
    <w:tmpl w:val="29D09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7398680">
    <w:abstractNumId w:val="6"/>
  </w:num>
  <w:num w:numId="2" w16cid:durableId="175996626">
    <w:abstractNumId w:val="4"/>
  </w:num>
  <w:num w:numId="3" w16cid:durableId="609434065">
    <w:abstractNumId w:val="5"/>
  </w:num>
  <w:num w:numId="4" w16cid:durableId="811018073">
    <w:abstractNumId w:val="2"/>
  </w:num>
  <w:num w:numId="5" w16cid:durableId="1338508227">
    <w:abstractNumId w:val="1"/>
  </w:num>
  <w:num w:numId="6" w16cid:durableId="379062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360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888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7C"/>
    <w:rsid w:val="00043505"/>
    <w:rsid w:val="00053932"/>
    <w:rsid w:val="000E0088"/>
    <w:rsid w:val="00140C80"/>
    <w:rsid w:val="00172D65"/>
    <w:rsid w:val="00174BBD"/>
    <w:rsid w:val="001B23B5"/>
    <w:rsid w:val="001B2DAF"/>
    <w:rsid w:val="001D26EA"/>
    <w:rsid w:val="001E5E91"/>
    <w:rsid w:val="0020766A"/>
    <w:rsid w:val="0021739C"/>
    <w:rsid w:val="002276B3"/>
    <w:rsid w:val="00243498"/>
    <w:rsid w:val="00253262"/>
    <w:rsid w:val="002A4D1D"/>
    <w:rsid w:val="002E0EE8"/>
    <w:rsid w:val="002F3DF7"/>
    <w:rsid w:val="00314955"/>
    <w:rsid w:val="0032378E"/>
    <w:rsid w:val="00342FA2"/>
    <w:rsid w:val="003553CC"/>
    <w:rsid w:val="00371AEE"/>
    <w:rsid w:val="003770D8"/>
    <w:rsid w:val="003A6F85"/>
    <w:rsid w:val="003E0E3B"/>
    <w:rsid w:val="003E5CA4"/>
    <w:rsid w:val="003F48DF"/>
    <w:rsid w:val="00451355"/>
    <w:rsid w:val="004C577C"/>
    <w:rsid w:val="004D058D"/>
    <w:rsid w:val="004E5347"/>
    <w:rsid w:val="00501CED"/>
    <w:rsid w:val="00503706"/>
    <w:rsid w:val="00504B33"/>
    <w:rsid w:val="005146DF"/>
    <w:rsid w:val="00520CD7"/>
    <w:rsid w:val="0053026D"/>
    <w:rsid w:val="005832CB"/>
    <w:rsid w:val="005A60C3"/>
    <w:rsid w:val="005A7927"/>
    <w:rsid w:val="005B3A85"/>
    <w:rsid w:val="005B69E6"/>
    <w:rsid w:val="005C7656"/>
    <w:rsid w:val="005D7D57"/>
    <w:rsid w:val="005F17E7"/>
    <w:rsid w:val="006037F3"/>
    <w:rsid w:val="00642054"/>
    <w:rsid w:val="00644E79"/>
    <w:rsid w:val="0067290B"/>
    <w:rsid w:val="00672C8A"/>
    <w:rsid w:val="00675F6F"/>
    <w:rsid w:val="006D7D96"/>
    <w:rsid w:val="006E07AC"/>
    <w:rsid w:val="006E0CE3"/>
    <w:rsid w:val="00715545"/>
    <w:rsid w:val="00746C3F"/>
    <w:rsid w:val="007523D2"/>
    <w:rsid w:val="007B74C3"/>
    <w:rsid w:val="007C5394"/>
    <w:rsid w:val="007F3A21"/>
    <w:rsid w:val="007F64CC"/>
    <w:rsid w:val="00840078"/>
    <w:rsid w:val="008A69B0"/>
    <w:rsid w:val="008D15EC"/>
    <w:rsid w:val="009043CD"/>
    <w:rsid w:val="009070C5"/>
    <w:rsid w:val="009368F9"/>
    <w:rsid w:val="00990260"/>
    <w:rsid w:val="009A0647"/>
    <w:rsid w:val="009A4643"/>
    <w:rsid w:val="009A75C0"/>
    <w:rsid w:val="009B503D"/>
    <w:rsid w:val="009E587C"/>
    <w:rsid w:val="00A32D29"/>
    <w:rsid w:val="00A6758A"/>
    <w:rsid w:val="00A77B51"/>
    <w:rsid w:val="00AC35AB"/>
    <w:rsid w:val="00AC70AC"/>
    <w:rsid w:val="00B01CFE"/>
    <w:rsid w:val="00B302B8"/>
    <w:rsid w:val="00B41036"/>
    <w:rsid w:val="00B61202"/>
    <w:rsid w:val="00B65E22"/>
    <w:rsid w:val="00BA6CC5"/>
    <w:rsid w:val="00BB5047"/>
    <w:rsid w:val="00BC5AC2"/>
    <w:rsid w:val="00BF5159"/>
    <w:rsid w:val="00C04EBC"/>
    <w:rsid w:val="00C05DD5"/>
    <w:rsid w:val="00C41FAB"/>
    <w:rsid w:val="00C430FA"/>
    <w:rsid w:val="00C51BD2"/>
    <w:rsid w:val="00C65E47"/>
    <w:rsid w:val="00C75A7D"/>
    <w:rsid w:val="00C84B5B"/>
    <w:rsid w:val="00C97804"/>
    <w:rsid w:val="00CA5383"/>
    <w:rsid w:val="00CF6685"/>
    <w:rsid w:val="00D04BD9"/>
    <w:rsid w:val="00D10441"/>
    <w:rsid w:val="00D45B04"/>
    <w:rsid w:val="00D73295"/>
    <w:rsid w:val="00D8703F"/>
    <w:rsid w:val="00D96B28"/>
    <w:rsid w:val="00DA2450"/>
    <w:rsid w:val="00DC75E9"/>
    <w:rsid w:val="00DE33F4"/>
    <w:rsid w:val="00DF58C7"/>
    <w:rsid w:val="00E3515D"/>
    <w:rsid w:val="00E62892"/>
    <w:rsid w:val="00E84192"/>
    <w:rsid w:val="00E86396"/>
    <w:rsid w:val="00EB6F32"/>
    <w:rsid w:val="00EC5F23"/>
    <w:rsid w:val="00ED559A"/>
    <w:rsid w:val="00EF3DBB"/>
    <w:rsid w:val="00F050ED"/>
    <w:rsid w:val="00F3609A"/>
    <w:rsid w:val="00F62E8F"/>
    <w:rsid w:val="00FC1213"/>
    <w:rsid w:val="00FC679B"/>
    <w:rsid w:val="00FF08CD"/>
    <w:rsid w:val="00FF56F2"/>
    <w:rsid w:val="00FF6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48BC"/>
  <w15:chartTrackingRefBased/>
  <w15:docId w15:val="{8F10917D-D96C-470D-BB6F-36D48A7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3706"/>
    <w:pPr>
      <w:ind w:left="720"/>
      <w:contextualSpacing/>
    </w:pPr>
  </w:style>
  <w:style w:type="paragraph" w:customStyle="1" w:styleId="Standard">
    <w:name w:val="Standard"/>
    <w:rsid w:val="00B65E22"/>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NormaleWeb">
    <w:name w:val="Normal (Web)"/>
    <w:basedOn w:val="Normale"/>
    <w:uiPriority w:val="99"/>
    <w:semiHidden/>
    <w:unhideWhenUsed/>
    <w:rsid w:val="00174BB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B302B8"/>
    <w:rPr>
      <w:b/>
      <w:bCs/>
    </w:rPr>
  </w:style>
  <w:style w:type="character" w:styleId="Collegamentoipertestuale">
    <w:name w:val="Hyperlink"/>
    <w:basedOn w:val="Carpredefinitoparagrafo"/>
    <w:uiPriority w:val="99"/>
    <w:semiHidden/>
    <w:unhideWhenUsed/>
    <w:rsid w:val="00B01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651">
      <w:bodyDiv w:val="1"/>
      <w:marLeft w:val="0"/>
      <w:marRight w:val="0"/>
      <w:marTop w:val="0"/>
      <w:marBottom w:val="0"/>
      <w:divBdr>
        <w:top w:val="none" w:sz="0" w:space="0" w:color="auto"/>
        <w:left w:val="none" w:sz="0" w:space="0" w:color="auto"/>
        <w:bottom w:val="none" w:sz="0" w:space="0" w:color="auto"/>
        <w:right w:val="none" w:sz="0" w:space="0" w:color="auto"/>
      </w:divBdr>
    </w:div>
    <w:div w:id="704672983">
      <w:bodyDiv w:val="1"/>
      <w:marLeft w:val="0"/>
      <w:marRight w:val="0"/>
      <w:marTop w:val="0"/>
      <w:marBottom w:val="0"/>
      <w:divBdr>
        <w:top w:val="none" w:sz="0" w:space="0" w:color="auto"/>
        <w:left w:val="none" w:sz="0" w:space="0" w:color="auto"/>
        <w:bottom w:val="none" w:sz="0" w:space="0" w:color="auto"/>
        <w:right w:val="none" w:sz="0" w:space="0" w:color="auto"/>
      </w:divBdr>
    </w:div>
    <w:div w:id="16705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1989</Words>
  <Characters>11338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Sancini Silvia</dc:creator>
  <cp:keywords/>
  <dc:description/>
  <cp:lastModifiedBy>Carullo Nicola Domenico</cp:lastModifiedBy>
  <cp:revision>43</cp:revision>
  <dcterms:created xsi:type="dcterms:W3CDTF">2023-06-09T13:59:00Z</dcterms:created>
  <dcterms:modified xsi:type="dcterms:W3CDTF">2023-06-12T12:34:00Z</dcterms:modified>
</cp:coreProperties>
</file>